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2C36" w14:textId="77777777" w:rsidR="0057292A" w:rsidRDefault="0057292A" w:rsidP="0057292A">
      <w:pPr>
        <w:pStyle w:val="a3"/>
        <w:shd w:val="clear" w:color="auto" w:fill="FFFFFF"/>
        <w:spacing w:before="0" w:beforeAutospacing="0" w:after="0" w:afterAutospacing="0"/>
        <w:ind w:firstLine="420"/>
        <w:jc w:val="center"/>
        <w:rPr>
          <w:rFonts w:ascii="微软雅黑" w:eastAsia="微软雅黑" w:hAnsi="微软雅黑"/>
          <w:color w:val="000000"/>
          <w:sz w:val="21"/>
          <w:szCs w:val="21"/>
        </w:rPr>
      </w:pPr>
      <w:r>
        <w:rPr>
          <w:rFonts w:hint="eastAsia"/>
          <w:color w:val="000000"/>
          <w:sz w:val="36"/>
          <w:szCs w:val="36"/>
        </w:rPr>
        <w:t>转载：《航道工程建设管理规定》解读</w:t>
      </w:r>
    </w:p>
    <w:p w14:paraId="350DF4A6"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14:paraId="736F66C2"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转载来源：</w:t>
      </w:r>
      <w:r>
        <w:rPr>
          <w:rFonts w:ascii="Calibri" w:eastAsia="微软雅黑" w:hAnsi="Calibri" w:cs="Calibri"/>
          <w:color w:val="000000"/>
          <w:sz w:val="21"/>
          <w:szCs w:val="21"/>
        </w:rPr>
        <w:t>http://www.mot.gov.cn/zhengcejiedu/hangdaojs/</w:t>
      </w:r>
    </w:p>
    <w:p w14:paraId="13C6143E"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14:paraId="31035A6D"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《航道工程建设管理规定》（交通运输部令</w:t>
      </w:r>
      <w:r>
        <w:rPr>
          <w:rFonts w:ascii="Calibri" w:eastAsia="微软雅黑" w:hAnsi="Calibri" w:cs="Calibri"/>
          <w:color w:val="000000"/>
          <w:sz w:val="21"/>
          <w:szCs w:val="21"/>
        </w:rPr>
        <w:t>2019</w:t>
      </w:r>
      <w:r>
        <w:rPr>
          <w:rFonts w:hint="eastAsia"/>
          <w:color w:val="000000"/>
          <w:sz w:val="21"/>
          <w:szCs w:val="21"/>
        </w:rPr>
        <w:t>年第</w:t>
      </w:r>
      <w:r>
        <w:rPr>
          <w:rFonts w:ascii="Calibri" w:eastAsia="微软雅黑" w:hAnsi="Calibri" w:cs="Calibri"/>
          <w:color w:val="000000"/>
          <w:sz w:val="21"/>
          <w:szCs w:val="21"/>
        </w:rPr>
        <w:t>44</w:t>
      </w:r>
      <w:r>
        <w:rPr>
          <w:rFonts w:hint="eastAsia"/>
          <w:color w:val="000000"/>
          <w:sz w:val="21"/>
          <w:szCs w:val="21"/>
        </w:rPr>
        <w:t>号）已于</w:t>
      </w:r>
      <w:r>
        <w:rPr>
          <w:rFonts w:ascii="Calibri" w:eastAsia="微软雅黑" w:hAnsi="Calibri" w:cs="Calibri"/>
          <w:color w:val="000000"/>
          <w:sz w:val="21"/>
          <w:szCs w:val="21"/>
        </w:rPr>
        <w:t>2019</w:t>
      </w:r>
      <w:r>
        <w:rPr>
          <w:rFonts w:hint="eastAsia"/>
          <w:color w:val="000000"/>
          <w:sz w:val="21"/>
          <w:szCs w:val="21"/>
        </w:rPr>
        <w:t>年</w:t>
      </w:r>
      <w:r>
        <w:rPr>
          <w:rFonts w:ascii="Calibri" w:eastAsia="微软雅黑" w:hAnsi="Calibri" w:cs="Calibri"/>
          <w:color w:val="000000"/>
          <w:sz w:val="21"/>
          <w:szCs w:val="21"/>
        </w:rPr>
        <w:t>12</w:t>
      </w:r>
      <w:r>
        <w:rPr>
          <w:rFonts w:hint="eastAsia"/>
          <w:color w:val="000000"/>
          <w:sz w:val="21"/>
          <w:szCs w:val="21"/>
        </w:rPr>
        <w:t>月</w:t>
      </w:r>
      <w:r>
        <w:rPr>
          <w:rFonts w:ascii="Calibri" w:eastAsia="微软雅黑" w:hAnsi="Calibri" w:cs="Calibri"/>
          <w:color w:val="000000"/>
          <w:sz w:val="21"/>
          <w:szCs w:val="21"/>
        </w:rPr>
        <w:t>6</w:t>
      </w:r>
      <w:r>
        <w:rPr>
          <w:rFonts w:hint="eastAsia"/>
          <w:color w:val="000000"/>
          <w:sz w:val="21"/>
          <w:szCs w:val="21"/>
        </w:rPr>
        <w:t>日颁布，</w:t>
      </w:r>
      <w:r>
        <w:rPr>
          <w:rFonts w:ascii="Calibri" w:eastAsia="微软雅黑" w:hAnsi="Calibri" w:cs="Calibri"/>
          <w:color w:val="000000"/>
          <w:sz w:val="21"/>
          <w:szCs w:val="21"/>
        </w:rPr>
        <w:t>2020</w:t>
      </w:r>
      <w:r>
        <w:rPr>
          <w:rFonts w:hint="eastAsia"/>
          <w:color w:val="000000"/>
          <w:sz w:val="21"/>
          <w:szCs w:val="21"/>
        </w:rPr>
        <w:t>年</w:t>
      </w:r>
      <w:r>
        <w:rPr>
          <w:rFonts w:ascii="Calibri" w:eastAsia="微软雅黑" w:hAnsi="Calibri" w:cs="Calibri"/>
          <w:color w:val="000000"/>
          <w:sz w:val="21"/>
          <w:szCs w:val="21"/>
        </w:rPr>
        <w:t>2</w:t>
      </w:r>
      <w:r>
        <w:rPr>
          <w:rFonts w:hint="eastAsia"/>
          <w:color w:val="000000"/>
          <w:sz w:val="21"/>
          <w:szCs w:val="21"/>
        </w:rPr>
        <w:t>月</w:t>
      </w:r>
      <w:r>
        <w:rPr>
          <w:rFonts w:ascii="Calibri" w:eastAsia="微软雅黑" w:hAnsi="Calibri" w:cs="Calibri"/>
          <w:color w:val="000000"/>
          <w:sz w:val="21"/>
          <w:szCs w:val="21"/>
        </w:rPr>
        <w:t>1</w:t>
      </w:r>
      <w:r>
        <w:rPr>
          <w:rFonts w:hint="eastAsia"/>
          <w:color w:val="000000"/>
          <w:sz w:val="21"/>
          <w:szCs w:val="21"/>
        </w:rPr>
        <w:t>日起正式施行，现将有关内容解读如下：</w:t>
      </w:r>
    </w:p>
    <w:p w14:paraId="68B0E182"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一、出台背景</w:t>
      </w:r>
    </w:p>
    <w:p w14:paraId="64C8373A"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《航道建设管理规定》</w:t>
      </w:r>
      <w:r>
        <w:rPr>
          <w:rFonts w:ascii="Calibri" w:eastAsia="微软雅黑" w:hAnsi="Calibri" w:cs="Calibri"/>
          <w:color w:val="000000"/>
          <w:sz w:val="21"/>
          <w:szCs w:val="21"/>
        </w:rPr>
        <w:t>(</w:t>
      </w:r>
      <w:r>
        <w:rPr>
          <w:rFonts w:hint="eastAsia"/>
          <w:color w:val="000000"/>
          <w:sz w:val="21"/>
          <w:szCs w:val="21"/>
        </w:rPr>
        <w:t>交通部</w:t>
      </w:r>
      <w:r>
        <w:rPr>
          <w:rFonts w:ascii="Calibri" w:eastAsia="微软雅黑" w:hAnsi="Calibri" w:cs="Calibri"/>
          <w:color w:val="000000"/>
          <w:sz w:val="21"/>
          <w:szCs w:val="21"/>
        </w:rPr>
        <w:t>2007</w:t>
      </w:r>
      <w:r>
        <w:rPr>
          <w:rFonts w:hint="eastAsia"/>
          <w:color w:val="000000"/>
          <w:sz w:val="21"/>
          <w:szCs w:val="21"/>
        </w:rPr>
        <w:t>年</w:t>
      </w:r>
      <w:r>
        <w:rPr>
          <w:rFonts w:ascii="Calibri" w:eastAsia="微软雅黑" w:hAnsi="Calibri" w:cs="Calibri"/>
          <w:color w:val="000000"/>
          <w:sz w:val="21"/>
          <w:szCs w:val="21"/>
        </w:rPr>
        <w:t>3</w:t>
      </w:r>
      <w:r>
        <w:rPr>
          <w:rFonts w:hint="eastAsia"/>
          <w:color w:val="000000"/>
          <w:sz w:val="21"/>
          <w:szCs w:val="21"/>
        </w:rPr>
        <w:t>号令</w:t>
      </w:r>
      <w:r>
        <w:rPr>
          <w:rFonts w:ascii="Calibri" w:eastAsia="微软雅黑" w:hAnsi="Calibri" w:cs="Calibri"/>
          <w:color w:val="000000"/>
          <w:sz w:val="21"/>
          <w:szCs w:val="21"/>
        </w:rPr>
        <w:t>)</w:t>
      </w:r>
      <w:r>
        <w:rPr>
          <w:rFonts w:hint="eastAsia"/>
          <w:color w:val="000000"/>
          <w:sz w:val="21"/>
          <w:szCs w:val="21"/>
        </w:rPr>
        <w:t>和《航道工程竣工验收管理办法》</w:t>
      </w:r>
      <w:r>
        <w:rPr>
          <w:rFonts w:ascii="Calibri" w:eastAsia="微软雅黑" w:hAnsi="Calibri" w:cs="Calibri"/>
          <w:color w:val="000000"/>
          <w:sz w:val="21"/>
          <w:szCs w:val="21"/>
        </w:rPr>
        <w:t>(</w:t>
      </w:r>
      <w:r>
        <w:rPr>
          <w:rFonts w:hint="eastAsia"/>
          <w:color w:val="000000"/>
          <w:sz w:val="21"/>
          <w:szCs w:val="21"/>
        </w:rPr>
        <w:t>交通部</w:t>
      </w:r>
      <w:r>
        <w:rPr>
          <w:rFonts w:ascii="Calibri" w:eastAsia="微软雅黑" w:hAnsi="Calibri" w:cs="Calibri"/>
          <w:color w:val="000000"/>
          <w:sz w:val="21"/>
          <w:szCs w:val="21"/>
        </w:rPr>
        <w:t>2008</w:t>
      </w:r>
      <w:r>
        <w:rPr>
          <w:rFonts w:hint="eastAsia"/>
          <w:color w:val="000000"/>
          <w:sz w:val="21"/>
          <w:szCs w:val="21"/>
        </w:rPr>
        <w:t>年</w:t>
      </w:r>
      <w:r>
        <w:rPr>
          <w:rFonts w:ascii="Calibri" w:eastAsia="微软雅黑" w:hAnsi="Calibri" w:cs="Calibri"/>
          <w:color w:val="000000"/>
          <w:sz w:val="21"/>
          <w:szCs w:val="21"/>
        </w:rPr>
        <w:t>1</w:t>
      </w:r>
      <w:r>
        <w:rPr>
          <w:rFonts w:hint="eastAsia"/>
          <w:color w:val="000000"/>
          <w:sz w:val="21"/>
          <w:szCs w:val="21"/>
        </w:rPr>
        <w:t>号令</w:t>
      </w:r>
      <w:r>
        <w:rPr>
          <w:rFonts w:ascii="Calibri" w:eastAsia="微软雅黑" w:hAnsi="Calibri" w:cs="Calibri"/>
          <w:color w:val="000000"/>
          <w:sz w:val="21"/>
          <w:szCs w:val="21"/>
        </w:rPr>
        <w:t>) </w:t>
      </w:r>
      <w:r>
        <w:rPr>
          <w:rFonts w:hint="eastAsia"/>
          <w:color w:val="000000"/>
          <w:sz w:val="21"/>
          <w:szCs w:val="21"/>
        </w:rPr>
        <w:t>颁布实施以来，对规范和加强航道建设管理，保障和提升航道工程质量起到了重要作用。近年来，党中央、国务院不断推进行政审批制度改革和深化投融资体制改革，加大转变政府职能、简政放权和优化服务力度，《航道法》《企业投资项目核准和备案管理条例》《政府投资条例》《中共中央</w:t>
      </w:r>
      <w:r>
        <w:rPr>
          <w:rFonts w:ascii="微软雅黑" w:eastAsia="微软雅黑" w:hAnsi="微软雅黑" w:hint="eastAsia"/>
          <w:color w:val="000000"/>
          <w:sz w:val="21"/>
          <w:szCs w:val="21"/>
        </w:rPr>
        <w:t> </w:t>
      </w:r>
      <w:r>
        <w:rPr>
          <w:rFonts w:hint="eastAsia"/>
          <w:color w:val="000000"/>
          <w:sz w:val="21"/>
          <w:szCs w:val="21"/>
        </w:rPr>
        <w:t>国务院关于深化投融资体制改革的意见》（国办发〔</w:t>
      </w:r>
      <w:r>
        <w:rPr>
          <w:rFonts w:ascii="Calibri" w:eastAsia="微软雅黑" w:hAnsi="Calibri" w:cs="Calibri"/>
          <w:color w:val="000000"/>
          <w:sz w:val="21"/>
          <w:szCs w:val="21"/>
        </w:rPr>
        <w:t>2019</w:t>
      </w:r>
      <w:r>
        <w:rPr>
          <w:rFonts w:hint="eastAsia"/>
          <w:color w:val="000000"/>
          <w:sz w:val="21"/>
          <w:szCs w:val="21"/>
        </w:rPr>
        <w:t>〕</w:t>
      </w:r>
      <w:r>
        <w:rPr>
          <w:rFonts w:ascii="Calibri" w:eastAsia="微软雅黑" w:hAnsi="Calibri" w:cs="Calibri"/>
          <w:color w:val="000000"/>
          <w:sz w:val="21"/>
          <w:szCs w:val="21"/>
        </w:rPr>
        <w:t>11</w:t>
      </w:r>
      <w:r>
        <w:rPr>
          <w:rFonts w:hint="eastAsia"/>
          <w:color w:val="000000"/>
          <w:sz w:val="21"/>
          <w:szCs w:val="21"/>
        </w:rPr>
        <w:t>号）《交通运输领域中央与地方财政事权和支出责任划分改革方案》（国办发〔</w:t>
      </w:r>
      <w:r>
        <w:rPr>
          <w:rFonts w:ascii="Calibri" w:eastAsia="微软雅黑" w:hAnsi="Calibri" w:cs="Calibri"/>
          <w:color w:val="000000"/>
          <w:sz w:val="21"/>
          <w:szCs w:val="21"/>
        </w:rPr>
        <w:t>2019</w:t>
      </w:r>
      <w:r>
        <w:rPr>
          <w:rFonts w:hint="eastAsia"/>
          <w:color w:val="000000"/>
          <w:sz w:val="21"/>
          <w:szCs w:val="21"/>
        </w:rPr>
        <w:t>〕</w:t>
      </w:r>
      <w:r>
        <w:rPr>
          <w:rFonts w:ascii="Calibri" w:eastAsia="微软雅黑" w:hAnsi="Calibri" w:cs="Calibri"/>
          <w:color w:val="000000"/>
          <w:sz w:val="21"/>
          <w:szCs w:val="21"/>
        </w:rPr>
        <w:t>33</w:t>
      </w:r>
      <w:r>
        <w:rPr>
          <w:rFonts w:hint="eastAsia"/>
          <w:color w:val="000000"/>
          <w:sz w:val="21"/>
          <w:szCs w:val="21"/>
        </w:rPr>
        <w:t>号）等相继出台，航道工程建设管理面临新的形势和管理要求。本着与时俱进、目标导向的原则，我部对《航道建设管理规定》和《航道工程竣工验收管理办法》有关内容进行了全面梳理，进一步优化了规章体系结构，将上述两部规章整合为《航道工程建设管理规定》（以下简称《规定》）。</w:t>
      </w:r>
    </w:p>
    <w:p w14:paraId="6FFBA7B3"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二、主要内容</w:t>
      </w:r>
    </w:p>
    <w:p w14:paraId="245D72FE"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《规定》包括总则、建设程序管理、建设实施管理、验收管理、政府投资项目的资金管理、工程信息及档案管理、法律责任、附则共</w:t>
      </w:r>
      <w:r>
        <w:rPr>
          <w:rFonts w:ascii="Calibri" w:eastAsia="微软雅黑" w:hAnsi="Calibri" w:cs="Calibri"/>
          <w:color w:val="000000"/>
          <w:sz w:val="21"/>
          <w:szCs w:val="21"/>
        </w:rPr>
        <w:t>8</w:t>
      </w:r>
      <w:r>
        <w:rPr>
          <w:rFonts w:hint="eastAsia"/>
          <w:color w:val="000000"/>
          <w:sz w:val="21"/>
          <w:szCs w:val="21"/>
        </w:rPr>
        <w:t>章</w:t>
      </w:r>
      <w:r>
        <w:rPr>
          <w:rFonts w:ascii="Calibri" w:eastAsia="微软雅黑" w:hAnsi="Calibri" w:cs="Calibri"/>
          <w:color w:val="000000"/>
          <w:sz w:val="21"/>
          <w:szCs w:val="21"/>
        </w:rPr>
        <w:t>82</w:t>
      </w:r>
      <w:r>
        <w:rPr>
          <w:rFonts w:hint="eastAsia"/>
          <w:color w:val="000000"/>
          <w:sz w:val="21"/>
          <w:szCs w:val="21"/>
        </w:rPr>
        <w:t>条。主要内容如下：</w:t>
      </w:r>
    </w:p>
    <w:p w14:paraId="30114295"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ascii="Calibri" w:eastAsia="微软雅黑" w:hAnsi="Calibri" w:cs="Calibri"/>
          <w:color w:val="000000"/>
          <w:sz w:val="21"/>
          <w:szCs w:val="21"/>
        </w:rPr>
        <w:t>(</w:t>
      </w:r>
      <w:proofErr w:type="gramStart"/>
      <w:r>
        <w:rPr>
          <w:rFonts w:hint="eastAsia"/>
          <w:color w:val="000000"/>
          <w:sz w:val="21"/>
          <w:szCs w:val="21"/>
        </w:rPr>
        <w:t>一</w:t>
      </w:r>
      <w:proofErr w:type="gramEnd"/>
      <w:r>
        <w:rPr>
          <w:rFonts w:ascii="Calibri" w:eastAsia="微软雅黑" w:hAnsi="Calibri" w:cs="Calibri"/>
          <w:color w:val="000000"/>
          <w:sz w:val="21"/>
          <w:szCs w:val="21"/>
        </w:rPr>
        <w:t>)</w:t>
      </w:r>
      <w:r>
        <w:rPr>
          <w:rFonts w:hint="eastAsia"/>
          <w:color w:val="000000"/>
          <w:sz w:val="21"/>
          <w:szCs w:val="21"/>
        </w:rPr>
        <w:t>管理范围。参考《航道工程基本术语标准》《渠化工程枢纽总体设计规范》《船闸总体设计规范》《航道工程初步设计文件编制规定》等技术规范，结合行业管理实际，将范围界定为新建航道以及为改善航道条件而进行的航道整治、航道疏浚工程和航运枢纽、通航建筑物等工程及其配套设施的工程建设。</w:t>
      </w:r>
    </w:p>
    <w:p w14:paraId="21340C79"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ascii="Calibri" w:eastAsia="微软雅黑" w:hAnsi="Calibri" w:cs="Calibri"/>
          <w:color w:val="000000"/>
          <w:sz w:val="21"/>
          <w:szCs w:val="21"/>
        </w:rPr>
        <w:t>(</w:t>
      </w:r>
      <w:r>
        <w:rPr>
          <w:rFonts w:hint="eastAsia"/>
          <w:color w:val="000000"/>
          <w:sz w:val="21"/>
          <w:szCs w:val="21"/>
        </w:rPr>
        <w:t>二</w:t>
      </w:r>
      <w:r>
        <w:rPr>
          <w:rFonts w:ascii="Calibri" w:eastAsia="微软雅黑" w:hAnsi="Calibri" w:cs="Calibri"/>
          <w:color w:val="000000"/>
          <w:sz w:val="21"/>
          <w:szCs w:val="21"/>
        </w:rPr>
        <w:t>)</w:t>
      </w:r>
      <w:r>
        <w:rPr>
          <w:rFonts w:hint="eastAsia"/>
          <w:color w:val="000000"/>
          <w:sz w:val="21"/>
          <w:szCs w:val="21"/>
        </w:rPr>
        <w:t>建设管理。《规定》区分政府投资和企业投资的航道工程对建设程序和建设实施管理做了明确规定。</w:t>
      </w:r>
    </w:p>
    <w:p w14:paraId="64CF363A"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ascii="Calibri" w:eastAsia="微软雅黑" w:hAnsi="Calibri" w:cs="Calibri"/>
          <w:color w:val="000000"/>
          <w:sz w:val="21"/>
          <w:szCs w:val="21"/>
        </w:rPr>
        <w:t>1.</w:t>
      </w:r>
      <w:r>
        <w:rPr>
          <w:rFonts w:hint="eastAsia"/>
          <w:color w:val="000000"/>
          <w:sz w:val="21"/>
          <w:szCs w:val="21"/>
        </w:rPr>
        <w:t>工程立项阶段。政府投资项目实行审批管理，应办理项目建议书和工程可行性研究报告审批手续；企业投资项目实行核准或备案管理，需要办理项目核准手续或填写备案信息。交通运输部按照权限负责中央财政事权航道工程建设项目的项目建议书、可行性研究报告的批准工作。</w:t>
      </w:r>
    </w:p>
    <w:p w14:paraId="7C6038B7"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ascii="Calibri" w:eastAsia="微软雅黑" w:hAnsi="Calibri" w:cs="Calibri"/>
          <w:color w:val="000000"/>
          <w:sz w:val="21"/>
          <w:szCs w:val="21"/>
        </w:rPr>
        <w:t>2.</w:t>
      </w:r>
      <w:r>
        <w:rPr>
          <w:rFonts w:hint="eastAsia"/>
          <w:color w:val="000000"/>
          <w:sz w:val="21"/>
          <w:szCs w:val="21"/>
        </w:rPr>
        <w:t>初步设计管理。《规定》明确了交通运输部负责中央财政事权航道工程建设项目的初步设计审批。县级以上地方交通运输主管理部门按照规定的职责，负责其他航道工程建设项目的初步设计审批。</w:t>
      </w:r>
    </w:p>
    <w:p w14:paraId="126CC908"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ascii="Calibri" w:eastAsia="微软雅黑" w:hAnsi="Calibri" w:cs="Calibri"/>
          <w:color w:val="000000"/>
          <w:sz w:val="21"/>
          <w:szCs w:val="21"/>
        </w:rPr>
        <w:t>3.</w:t>
      </w:r>
      <w:r>
        <w:rPr>
          <w:rFonts w:hint="eastAsia"/>
          <w:color w:val="000000"/>
          <w:sz w:val="21"/>
          <w:szCs w:val="21"/>
        </w:rPr>
        <w:t>施工图设计管理。根据各地不同管理模式的实际情况，《规定》原则要求县级以上交通运输主管部门按照规定的职责进行施工图设计管理。</w:t>
      </w:r>
    </w:p>
    <w:p w14:paraId="7268F7D1"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ascii="Calibri" w:eastAsia="微软雅黑" w:hAnsi="Calibri" w:cs="Calibri"/>
          <w:color w:val="000000"/>
          <w:sz w:val="21"/>
          <w:szCs w:val="21"/>
        </w:rPr>
        <w:t>4.</w:t>
      </w:r>
      <w:r>
        <w:rPr>
          <w:rFonts w:hint="eastAsia"/>
          <w:color w:val="000000"/>
          <w:sz w:val="21"/>
          <w:szCs w:val="21"/>
        </w:rPr>
        <w:t>开工管理。《规定》要求项目单位应当在规定的有效期内开工建设。开工前，应当办理完成法律法规规定的各项手续，登录国家建立的项目</w:t>
      </w:r>
      <w:proofErr w:type="gramStart"/>
      <w:r>
        <w:rPr>
          <w:rFonts w:hint="eastAsia"/>
          <w:color w:val="000000"/>
          <w:sz w:val="21"/>
          <w:szCs w:val="21"/>
        </w:rPr>
        <w:t>在线审批</w:t>
      </w:r>
      <w:proofErr w:type="gramEnd"/>
      <w:r>
        <w:rPr>
          <w:rFonts w:hint="eastAsia"/>
          <w:color w:val="000000"/>
          <w:sz w:val="21"/>
          <w:szCs w:val="21"/>
        </w:rPr>
        <w:t>监管平台填写项目开工基本信息。</w:t>
      </w:r>
    </w:p>
    <w:p w14:paraId="3FF80ACE"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ascii="Calibri" w:eastAsia="微软雅黑" w:hAnsi="Calibri" w:cs="Calibri"/>
          <w:color w:val="000000"/>
          <w:sz w:val="21"/>
          <w:szCs w:val="21"/>
        </w:rPr>
        <w:lastRenderedPageBreak/>
        <w:t>5.</w:t>
      </w:r>
      <w:r>
        <w:rPr>
          <w:rFonts w:hint="eastAsia"/>
          <w:color w:val="000000"/>
          <w:sz w:val="21"/>
          <w:szCs w:val="21"/>
        </w:rPr>
        <w:t>设计变更管理。为进一步规范设计变更行为，《规定》细化了设计变更管理内容，区分航道整治、航道疏浚、航运枢纽、通航建筑物等不同类型，具体划分了设计变更分类，明确了管理程序和要求，强化了动态监管要求。</w:t>
      </w:r>
    </w:p>
    <w:p w14:paraId="29C360AC"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ascii="Calibri" w:eastAsia="微软雅黑" w:hAnsi="Calibri" w:cs="Calibri"/>
          <w:color w:val="000000"/>
          <w:sz w:val="21"/>
          <w:szCs w:val="21"/>
        </w:rPr>
        <w:t>6.</w:t>
      </w:r>
      <w:r>
        <w:rPr>
          <w:rFonts w:hint="eastAsia"/>
          <w:color w:val="000000"/>
          <w:sz w:val="21"/>
          <w:szCs w:val="21"/>
        </w:rPr>
        <w:t>竣工验收管理：《规定》明确航道工程项目的交工验收和航运枢纽工程阶段验收由项目单位负责，竣工验收由各级交通运输主管部门根据管理权责负责；对试运行条件、试运行期限、试运行报告做出了明确规定。</w:t>
      </w:r>
    </w:p>
    <w:p w14:paraId="4760662C"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ascii="Calibri" w:eastAsia="微软雅黑" w:hAnsi="Calibri" w:cs="Calibri"/>
          <w:color w:val="000000"/>
          <w:sz w:val="21"/>
          <w:szCs w:val="21"/>
        </w:rPr>
        <w:t>(</w:t>
      </w:r>
      <w:r>
        <w:rPr>
          <w:rFonts w:hint="eastAsia"/>
          <w:color w:val="000000"/>
          <w:sz w:val="21"/>
          <w:szCs w:val="21"/>
        </w:rPr>
        <w:t>三</w:t>
      </w:r>
      <w:r>
        <w:rPr>
          <w:rFonts w:ascii="Calibri" w:eastAsia="微软雅黑" w:hAnsi="Calibri" w:cs="Calibri"/>
          <w:color w:val="000000"/>
          <w:sz w:val="21"/>
          <w:szCs w:val="21"/>
        </w:rPr>
        <w:t>)</w:t>
      </w:r>
      <w:r>
        <w:rPr>
          <w:rFonts w:hint="eastAsia"/>
          <w:color w:val="000000"/>
          <w:sz w:val="21"/>
          <w:szCs w:val="21"/>
        </w:rPr>
        <w:t>政府投资项目的资金管理。按照《政府投资条例》的有关要求，从防范化解风险、规范政府资金使用的角度，《规定》对政府投资的航道工程建设项目的资金落实、投资建议计划编制、资金控制、结余资金处理等方面做出了相应的规定。</w:t>
      </w:r>
    </w:p>
    <w:p w14:paraId="583C8EF5"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ascii="Calibri" w:eastAsia="微软雅黑" w:hAnsi="Calibri" w:cs="Calibri"/>
          <w:color w:val="000000"/>
          <w:sz w:val="21"/>
          <w:szCs w:val="21"/>
        </w:rPr>
        <w:t>(</w:t>
      </w:r>
      <w:r>
        <w:rPr>
          <w:rFonts w:hint="eastAsia"/>
          <w:color w:val="000000"/>
          <w:sz w:val="21"/>
          <w:szCs w:val="21"/>
        </w:rPr>
        <w:t>四</w:t>
      </w:r>
      <w:r>
        <w:rPr>
          <w:rFonts w:ascii="Calibri" w:eastAsia="微软雅黑" w:hAnsi="Calibri" w:cs="Calibri"/>
          <w:color w:val="000000"/>
          <w:sz w:val="21"/>
          <w:szCs w:val="21"/>
        </w:rPr>
        <w:t>)</w:t>
      </w:r>
      <w:r>
        <w:rPr>
          <w:rFonts w:hint="eastAsia"/>
          <w:color w:val="000000"/>
          <w:sz w:val="21"/>
          <w:szCs w:val="21"/>
        </w:rPr>
        <w:t>工程信息及档案管理。《规定》明确了信息报送及公开、档案管理等方面的要求，要求及时做好工程建设过程中的信息、档案资料的收集、整理等工作，确保信息和档案资料的真实、完整性。</w:t>
      </w:r>
    </w:p>
    <w:p w14:paraId="26453934"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三、《规定》主要特点</w:t>
      </w:r>
    </w:p>
    <w:p w14:paraId="48B03E75"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《规定》适应了新的形势和要求，主要体现在以下方面：</w:t>
      </w:r>
    </w:p>
    <w:p w14:paraId="2C58DBAE"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一是依法依规确定航道建设管理职责。根据《航道法》《交通运输领域中央与地方财政事权和支出责任划分改革方案》等，《规定》就相关事权做出了衔接性的规定，明确了交通运输部主管全国航道工程建设的行业管理工作，并具体负责中央财政事权航道的建设管理，可以按规定委托交通运输部设置的负责航道管理的机构、省级人民政府确定的负责航道管理的部门或机构承担。县级以上地方人民政府交通运输主管部门按照省、自治区、直辖市人民政府的规定主管所辖航道工程建设的管理工作。</w:t>
      </w:r>
    </w:p>
    <w:p w14:paraId="67F07F7F"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二是优化管理方式和程序。《规定》按照项目性质不同，明确了政府投资项目和企业投资项目的管理方式。考虑到实践中部分航道工程工期较长、涉及专业多，集中报批施工图设计有一定困难，明确此类项目施工图设计可以分批报批。对于建设内容简单、投资规模较小的航道整治、航道疏浚等航道工程建设项目，明确初步设计和施工图设计可以在深度达到施工图设计要求的基础上合并进行，以简化流程，便利行政相对人。</w:t>
      </w:r>
    </w:p>
    <w:p w14:paraId="10580A73"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三是强化动态监督管理。项目建设地点、建设规模、建设内容等发生较大变更的，应按法规要求履行相应手续。工程实施中，发生设计变更的，应当根据变更内容履行设计变更手续，防止擅自变更或肢解变更内容以规避办理相关手续。</w:t>
      </w:r>
    </w:p>
    <w:p w14:paraId="1C95930E"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四是改革竣工验收管理制度。在验收方式方面，一是强化了项目单位的主体责任，明确交工验收和航运枢纽工程阶段验收由项目单位负责。二是取消了交通运输主管部门组织的初步验收，简化了流程，进一步提高工作效率。三是明确了试运行管理要求，对试运行条件、试运行时间做出明确规定。四是创新竣工验收方式，明确竣工验收通过竣工验收现场核查进行，规定了现场核查组人员组成、资格要求、核查内容和具体程序等，并提出</w:t>
      </w:r>
      <w:proofErr w:type="gramStart"/>
      <w:r>
        <w:rPr>
          <w:rFonts w:hint="eastAsia"/>
          <w:color w:val="000000"/>
          <w:sz w:val="21"/>
          <w:szCs w:val="21"/>
        </w:rPr>
        <w:t>对尾留工程</w:t>
      </w:r>
      <w:proofErr w:type="gramEnd"/>
      <w:r>
        <w:rPr>
          <w:rFonts w:hint="eastAsia"/>
          <w:color w:val="000000"/>
          <w:sz w:val="21"/>
          <w:szCs w:val="21"/>
        </w:rPr>
        <w:t>和整改事项的处理要求。</w:t>
      </w:r>
    </w:p>
    <w:p w14:paraId="3137392F" w14:textId="77777777" w:rsidR="0057292A" w:rsidRDefault="0057292A" w:rsidP="0057292A">
      <w:pPr>
        <w:pStyle w:val="a3"/>
        <w:shd w:val="clear" w:color="auto" w:fill="FFFFFF"/>
        <w:spacing w:before="0" w:beforeAutospacing="0" w:after="0" w:afterAutospacing="0"/>
        <w:ind w:firstLine="420"/>
        <w:jc w:val="both"/>
        <w:rPr>
          <w:rFonts w:ascii="微软雅黑" w:eastAsia="微软雅黑" w:hAnsi="微软雅黑" w:hint="eastAsia"/>
          <w:color w:val="000000"/>
          <w:sz w:val="21"/>
          <w:szCs w:val="21"/>
        </w:rPr>
      </w:pPr>
      <w:r>
        <w:rPr>
          <w:rFonts w:hint="eastAsia"/>
          <w:color w:val="000000"/>
          <w:sz w:val="21"/>
          <w:szCs w:val="21"/>
        </w:rPr>
        <w:t>五是建立协同监管机制。《规定》明确项目单位利用投资项目</w:t>
      </w:r>
      <w:proofErr w:type="gramStart"/>
      <w:r>
        <w:rPr>
          <w:rFonts w:hint="eastAsia"/>
          <w:color w:val="000000"/>
          <w:sz w:val="21"/>
          <w:szCs w:val="21"/>
        </w:rPr>
        <w:t>在线审批</w:t>
      </w:r>
      <w:proofErr w:type="gramEnd"/>
      <w:r>
        <w:rPr>
          <w:rFonts w:hint="eastAsia"/>
          <w:color w:val="000000"/>
          <w:sz w:val="21"/>
          <w:szCs w:val="21"/>
        </w:rPr>
        <w:t>监管平台填报项目立项、开工、建设进度、竣工验收等信息，交通运输主管部门和其他部门通过监管平台加强信息共享和协同监管；相关单位和个人应接受交通运输主管部门以及依法对项目负有监督管理职责的其他有关部门的监管，进一步强化了协同监管的要求。</w:t>
      </w:r>
    </w:p>
    <w:p w14:paraId="6CDA57C8" w14:textId="77777777" w:rsidR="00591150" w:rsidRPr="0057292A" w:rsidRDefault="00591150">
      <w:bookmarkStart w:id="0" w:name="_GoBack"/>
      <w:bookmarkEnd w:id="0"/>
    </w:p>
    <w:sectPr w:rsidR="00591150" w:rsidRPr="005729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00"/>
    <w:rsid w:val="0057292A"/>
    <w:rsid w:val="00591150"/>
    <w:rsid w:val="00666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47B1E-E43D-4B11-90AB-D59156F9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9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6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文</dc:creator>
  <cp:keywords/>
  <dc:description/>
  <cp:lastModifiedBy>张 文</cp:lastModifiedBy>
  <cp:revision>2</cp:revision>
  <dcterms:created xsi:type="dcterms:W3CDTF">2020-04-09T03:16:00Z</dcterms:created>
  <dcterms:modified xsi:type="dcterms:W3CDTF">2020-04-09T03:16:00Z</dcterms:modified>
</cp:coreProperties>
</file>