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7.3.3.4 关于船舶最低安全配员相关问题的批复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snapToGrid w:val="0"/>
          <w:kern w:val="0"/>
          <w:sz w:val="24"/>
          <w:szCs w:val="24"/>
          <w:lang w:val="en-US" w:eastAsia="zh-CN" w:bidi="ar"/>
        </w:rPr>
        <w:t>关于船舶最低安全配员相关问题的批复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海船舶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[2007]116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2007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年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辽宁海事局：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你局《关于船舶最低安全配员相关问题的请示》（辽海船舶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[2006]218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号）文收悉。经研究，现就有关问题批复如下：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72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一、对于总功率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75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千瓦及以上至未满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220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千瓦，载客不足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人的舷外挂机摩托艇，同意免除机舱配员，但连续航行时间不得超过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小时。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72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二、对于总功率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75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千瓦及以上至未满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220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千瓦，载客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人及以上的舷外挂机摩托艇，同意免除机舱配员，但连续航行时间不得超过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小时。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72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三、对于总功率未满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750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千瓦，机驾合一，且不设置机舱，无需系解缆绳的全垫升气垫船，同意免除值班水手、值班机工，但连续航行时间不得超过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小时。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435" w:right="0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此复。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2018-08-30T06:11:12Z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