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Autospacing="0" w:after="240" w:afterAutospacing="0" w:line="432" w:lineRule="auto"/>
        <w:ind w:left="0" w:right="0"/>
        <w:jc w:val="center"/>
        <w:rPr>
          <w:rFonts w:hint="default" w:ascii="Verdana" w:hAnsi="Verdana" w:cs="宋体"/>
          <w:b/>
          <w:color w:val="333333"/>
          <w:kern w:val="0"/>
          <w:lang w:val="en-US"/>
        </w:rPr>
      </w:pPr>
      <w:r>
        <w:rPr>
          <w:rFonts w:hint="eastAsia" w:ascii="Verdana" w:hAnsi="Verdana" w:eastAsia="宋体" w:cs="宋体"/>
          <w:b/>
          <w:color w:val="333333"/>
          <w:kern w:val="0"/>
          <w:sz w:val="21"/>
          <w:szCs w:val="22"/>
          <w:lang w:val="en-US" w:eastAsia="zh-CN" w:bidi="ar"/>
        </w:rPr>
        <w:t>交通运输部</w:t>
      </w:r>
      <w:r>
        <w:rPr>
          <w:rFonts w:hint="default" w:ascii="Verdana" w:hAnsi="Verdana" w:eastAsia="宋体" w:cs="宋体"/>
          <w:b/>
          <w:color w:val="333333"/>
          <w:kern w:val="0"/>
          <w:sz w:val="21"/>
          <w:szCs w:val="22"/>
          <w:lang w:val="en-US" w:eastAsia="zh-CN" w:bidi="ar"/>
        </w:rPr>
        <w:t xml:space="preserve"> </w:t>
      </w:r>
      <w:r>
        <w:rPr>
          <w:rFonts w:hint="eastAsia" w:ascii="Verdana" w:hAnsi="Verdana" w:eastAsia="宋体" w:cs="宋体"/>
          <w:b/>
          <w:color w:val="333333"/>
          <w:kern w:val="0"/>
          <w:sz w:val="21"/>
          <w:szCs w:val="22"/>
          <w:lang w:val="en-US" w:eastAsia="zh-CN" w:bidi="ar"/>
        </w:rPr>
        <w:t>公安部</w:t>
      </w:r>
      <w:r>
        <w:rPr>
          <w:rFonts w:hint="default" w:ascii="Verdana" w:hAnsi="Verdana" w:eastAsia="宋体" w:cs="宋体"/>
          <w:b/>
          <w:color w:val="333333"/>
          <w:kern w:val="0"/>
          <w:sz w:val="21"/>
          <w:szCs w:val="22"/>
          <w:lang w:val="en-US" w:eastAsia="zh-CN" w:bidi="ar"/>
        </w:rPr>
        <w:t xml:space="preserve"> </w:t>
      </w:r>
      <w:r>
        <w:rPr>
          <w:rFonts w:hint="eastAsia" w:ascii="Verdana" w:hAnsi="Verdana" w:eastAsia="宋体" w:cs="宋体"/>
          <w:b/>
          <w:color w:val="333333"/>
          <w:kern w:val="0"/>
          <w:sz w:val="21"/>
          <w:szCs w:val="22"/>
          <w:lang w:val="en-US" w:eastAsia="zh-CN" w:bidi="ar"/>
        </w:rPr>
        <w:t>海关总署</w:t>
      </w:r>
      <w:r>
        <w:rPr>
          <w:rFonts w:hint="default" w:ascii="Verdana" w:hAnsi="Verdana" w:eastAsia="宋体" w:cs="宋体"/>
          <w:b/>
          <w:color w:val="333333"/>
          <w:kern w:val="0"/>
          <w:sz w:val="21"/>
          <w:szCs w:val="22"/>
          <w:lang w:val="en-US" w:eastAsia="zh-CN" w:bidi="ar"/>
        </w:rPr>
        <w:t xml:space="preserve"> </w:t>
      </w:r>
      <w:r>
        <w:rPr>
          <w:rFonts w:hint="eastAsia" w:ascii="Verdana" w:hAnsi="Verdana" w:eastAsia="宋体" w:cs="宋体"/>
          <w:b/>
          <w:color w:val="333333"/>
          <w:kern w:val="0"/>
          <w:sz w:val="21"/>
          <w:szCs w:val="22"/>
          <w:lang w:val="en-US" w:eastAsia="zh-CN" w:bidi="ar"/>
        </w:rPr>
        <w:t>质检总局</w:t>
      </w:r>
    </w:p>
    <w:p>
      <w:pPr>
        <w:keepNext w:val="0"/>
        <w:keepLines w:val="0"/>
        <w:widowControl/>
        <w:suppressLineNumbers w:val="0"/>
        <w:snapToGrid w:val="0"/>
        <w:spacing w:before="0" w:beforeAutospacing="0" w:after="240" w:afterAutospacing="0" w:line="432" w:lineRule="auto"/>
        <w:ind w:left="0" w:right="0"/>
        <w:jc w:val="center"/>
        <w:rPr>
          <w:rFonts w:hint="default" w:ascii="Verdana" w:hAnsi="Verdana" w:cs="宋体"/>
          <w:color w:val="333333"/>
          <w:kern w:val="0"/>
          <w:szCs w:val="21"/>
          <w:lang w:val="en-US"/>
        </w:rPr>
      </w:pPr>
      <w:r>
        <w:rPr>
          <w:rFonts w:hint="eastAsia" w:ascii="Verdana" w:hAnsi="Verdana" w:eastAsia="宋体" w:cs="宋体"/>
          <w:b/>
          <w:color w:val="333333"/>
          <w:kern w:val="0"/>
          <w:sz w:val="21"/>
          <w:szCs w:val="22"/>
          <w:lang w:val="en-US" w:eastAsia="zh-CN" w:bidi="ar"/>
        </w:rPr>
        <w:t>关于建立国际航行船舶联合登临检查工作机制的通知</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各直属海事局，各省、自治区、直辖市公安厅（局），各直属海关，各直属检验检疫局：</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为贯彻《国务院关于印发落实</w:t>
      </w:r>
      <w:r>
        <w:rPr>
          <w:rFonts w:hint="default" w:ascii="Verdana" w:hAnsi="Verdana" w:eastAsia="宋体" w:cs="宋体"/>
          <w:color w:val="333333"/>
          <w:kern w:val="0"/>
          <w:sz w:val="21"/>
          <w:szCs w:val="21"/>
          <w:lang w:val="en-US" w:eastAsia="zh-CN" w:bidi="ar"/>
        </w:rPr>
        <w:t>“</w:t>
      </w:r>
      <w:r>
        <w:rPr>
          <w:rFonts w:hint="eastAsia" w:ascii="Verdana" w:hAnsi="Verdana" w:eastAsia="宋体" w:cs="宋体"/>
          <w:color w:val="333333"/>
          <w:kern w:val="0"/>
          <w:sz w:val="21"/>
          <w:szCs w:val="21"/>
          <w:lang w:val="en-US" w:eastAsia="zh-CN" w:bidi="ar"/>
        </w:rPr>
        <w:t>三互</w:t>
      </w:r>
      <w:r>
        <w:rPr>
          <w:rFonts w:hint="default" w:ascii="Verdana" w:hAnsi="Verdana" w:eastAsia="宋体" w:cs="宋体"/>
          <w:color w:val="333333"/>
          <w:kern w:val="0"/>
          <w:sz w:val="21"/>
          <w:szCs w:val="21"/>
          <w:lang w:val="en-US" w:eastAsia="zh-CN" w:bidi="ar"/>
        </w:rPr>
        <w:t>”</w:t>
      </w:r>
      <w:r>
        <w:rPr>
          <w:rFonts w:hint="eastAsia" w:ascii="Verdana" w:hAnsi="Verdana" w:eastAsia="宋体" w:cs="宋体"/>
          <w:color w:val="333333"/>
          <w:kern w:val="0"/>
          <w:sz w:val="21"/>
          <w:szCs w:val="21"/>
          <w:lang w:val="en-US" w:eastAsia="zh-CN" w:bidi="ar"/>
        </w:rPr>
        <w:t>推进大通关建设改革方案的通知》（国发〔</w:t>
      </w:r>
      <w:r>
        <w:rPr>
          <w:rFonts w:hint="default" w:ascii="Verdana" w:hAnsi="Verdana" w:eastAsia="宋体" w:cs="宋体"/>
          <w:color w:val="333333"/>
          <w:kern w:val="0"/>
          <w:sz w:val="21"/>
          <w:szCs w:val="21"/>
          <w:lang w:val="en-US" w:eastAsia="zh-CN" w:bidi="ar"/>
        </w:rPr>
        <w:t>2014</w:t>
      </w:r>
      <w:r>
        <w:rPr>
          <w:rFonts w:hint="eastAsia" w:ascii="Verdana" w:hAnsi="Verdana" w:eastAsia="宋体" w:cs="宋体"/>
          <w:color w:val="333333"/>
          <w:kern w:val="0"/>
          <w:sz w:val="21"/>
          <w:szCs w:val="21"/>
          <w:lang w:val="en-US" w:eastAsia="zh-CN" w:bidi="ar"/>
        </w:rPr>
        <w:t>〕</w:t>
      </w:r>
      <w:r>
        <w:rPr>
          <w:rFonts w:hint="default" w:ascii="Verdana" w:hAnsi="Verdana" w:eastAsia="宋体" w:cs="宋体"/>
          <w:color w:val="333333"/>
          <w:kern w:val="0"/>
          <w:sz w:val="21"/>
          <w:szCs w:val="21"/>
          <w:lang w:val="en-US" w:eastAsia="zh-CN" w:bidi="ar"/>
        </w:rPr>
        <w:t>68</w:t>
      </w:r>
      <w:r>
        <w:rPr>
          <w:rFonts w:hint="eastAsia" w:ascii="Verdana" w:hAnsi="Verdana" w:eastAsia="宋体" w:cs="宋体"/>
          <w:color w:val="333333"/>
          <w:kern w:val="0"/>
          <w:sz w:val="21"/>
          <w:szCs w:val="21"/>
          <w:lang w:val="en-US" w:eastAsia="zh-CN" w:bidi="ar"/>
        </w:rPr>
        <w:t>号）关于建立运输工具联合登临检查工作机制的要求，依照《国际航行船舶进出中华人民共和国口岸检查办法》（国务院令第</w:t>
      </w:r>
      <w:r>
        <w:rPr>
          <w:rFonts w:hint="default" w:ascii="Verdana" w:hAnsi="Verdana" w:eastAsia="宋体" w:cs="宋体"/>
          <w:color w:val="333333"/>
          <w:kern w:val="0"/>
          <w:sz w:val="21"/>
          <w:szCs w:val="21"/>
          <w:lang w:val="en-US" w:eastAsia="zh-CN" w:bidi="ar"/>
        </w:rPr>
        <w:t>175</w:t>
      </w:r>
      <w:r>
        <w:rPr>
          <w:rFonts w:hint="eastAsia" w:ascii="Verdana" w:hAnsi="Verdana" w:eastAsia="宋体" w:cs="宋体"/>
          <w:color w:val="333333"/>
          <w:kern w:val="0"/>
          <w:sz w:val="21"/>
          <w:szCs w:val="21"/>
          <w:lang w:val="en-US" w:eastAsia="zh-CN" w:bidi="ar"/>
        </w:rPr>
        <w:t>号）的相关规定，现将各港口口岸查验部门建立国际航行船舶联合登临检查工作机制有关事项通知如下：</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　　</w:t>
      </w:r>
      <w:r>
        <w:rPr>
          <w:rFonts w:hint="default" w:ascii="Verdana" w:hAnsi="Verdana" w:eastAsia="宋体" w:cs="宋体"/>
          <w:color w:val="333333"/>
          <w:kern w:val="0"/>
          <w:sz w:val="21"/>
          <w:szCs w:val="21"/>
          <w:lang w:val="en-US" w:eastAsia="zh-CN" w:bidi="ar"/>
        </w:rPr>
        <w:br w:type="textWrapping"/>
      </w:r>
      <w:r>
        <w:rPr>
          <w:rFonts w:hint="eastAsia" w:ascii="Verdana" w:hAnsi="Verdana" w:eastAsia="宋体" w:cs="宋体"/>
          <w:color w:val="333333"/>
          <w:kern w:val="0"/>
          <w:sz w:val="21"/>
          <w:szCs w:val="21"/>
          <w:lang w:val="en-US" w:eastAsia="zh-CN" w:bidi="ar"/>
        </w:rPr>
        <w:t>一、国际航行船舶联合登临检查是落实</w:t>
      </w:r>
      <w:r>
        <w:rPr>
          <w:rFonts w:hint="default" w:ascii="Verdana" w:hAnsi="Verdana" w:eastAsia="宋体" w:cs="宋体"/>
          <w:color w:val="333333"/>
          <w:kern w:val="0"/>
          <w:sz w:val="21"/>
          <w:szCs w:val="21"/>
          <w:lang w:val="en-US" w:eastAsia="zh-CN" w:bidi="ar"/>
        </w:rPr>
        <w:t>“</w:t>
      </w:r>
      <w:r>
        <w:rPr>
          <w:rFonts w:hint="eastAsia" w:ascii="Verdana" w:hAnsi="Verdana" w:eastAsia="宋体" w:cs="宋体"/>
          <w:color w:val="333333"/>
          <w:kern w:val="0"/>
          <w:sz w:val="21"/>
          <w:szCs w:val="21"/>
          <w:lang w:val="en-US" w:eastAsia="zh-CN" w:bidi="ar"/>
        </w:rPr>
        <w:t>三互</w:t>
      </w:r>
      <w:r>
        <w:rPr>
          <w:rFonts w:hint="default" w:ascii="Verdana" w:hAnsi="Verdana" w:eastAsia="宋体" w:cs="宋体"/>
          <w:color w:val="333333"/>
          <w:kern w:val="0"/>
          <w:sz w:val="21"/>
          <w:szCs w:val="21"/>
          <w:lang w:val="en-US" w:eastAsia="zh-CN" w:bidi="ar"/>
        </w:rPr>
        <w:t>”</w:t>
      </w:r>
      <w:r>
        <w:rPr>
          <w:rFonts w:hint="eastAsia" w:ascii="Verdana" w:hAnsi="Verdana" w:eastAsia="宋体" w:cs="宋体"/>
          <w:color w:val="333333"/>
          <w:kern w:val="0"/>
          <w:sz w:val="21"/>
          <w:szCs w:val="21"/>
          <w:lang w:val="en-US" w:eastAsia="zh-CN" w:bidi="ar"/>
        </w:rPr>
        <w:t>推进大通关建设的重要举措，是提高船舶出入境查验效率、便利船舶进出口岸的重要手段，对此，各单位要统一思想，提高认识，积极参与，抓好落实。</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　　</w:t>
      </w:r>
      <w:r>
        <w:rPr>
          <w:rFonts w:hint="default" w:ascii="Verdana" w:hAnsi="Verdana" w:eastAsia="宋体" w:cs="宋体"/>
          <w:color w:val="333333"/>
          <w:kern w:val="0"/>
          <w:sz w:val="21"/>
          <w:szCs w:val="21"/>
          <w:lang w:val="en-US" w:eastAsia="zh-CN" w:bidi="ar"/>
        </w:rPr>
        <w:br w:type="textWrapping"/>
      </w:r>
      <w:r>
        <w:rPr>
          <w:rFonts w:hint="eastAsia" w:ascii="Verdana" w:hAnsi="Verdana" w:eastAsia="宋体" w:cs="宋体"/>
          <w:color w:val="333333"/>
          <w:kern w:val="0"/>
          <w:sz w:val="21"/>
          <w:szCs w:val="21"/>
          <w:lang w:val="en-US" w:eastAsia="zh-CN" w:bidi="ar"/>
        </w:rPr>
        <w:t>二、各港口海事管理机构是国际航行船舶联合登临检查的召集单位，负有联合登临检查的组织协调责任，要及时汇总边检、海关及检验检疫部门登轮检查的需求，并做好拟登临船舶的沟通和船舶联合登临检查工作的安排。</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　　</w:t>
      </w:r>
      <w:r>
        <w:rPr>
          <w:rFonts w:hint="default" w:ascii="Verdana" w:hAnsi="Verdana" w:eastAsia="宋体" w:cs="宋体"/>
          <w:color w:val="333333"/>
          <w:kern w:val="0"/>
          <w:sz w:val="21"/>
          <w:szCs w:val="21"/>
          <w:lang w:val="en-US" w:eastAsia="zh-CN" w:bidi="ar"/>
        </w:rPr>
        <w:br w:type="textWrapping"/>
      </w:r>
      <w:r>
        <w:rPr>
          <w:rFonts w:hint="eastAsia" w:ascii="Verdana" w:hAnsi="Verdana" w:eastAsia="宋体" w:cs="宋体"/>
          <w:color w:val="333333"/>
          <w:kern w:val="0"/>
          <w:sz w:val="21"/>
          <w:szCs w:val="21"/>
          <w:lang w:val="en-US" w:eastAsia="zh-CN" w:bidi="ar"/>
        </w:rPr>
        <w:t>三、边检，海关及检验检疫部门为国际航行船舶联合登临检查的参加单位，对于悬挂检疫信号的船舶，在检验检疫机构排除公共卫生风险后，依职责共同对登临船舶开展检查工作。</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　　</w:t>
      </w:r>
      <w:r>
        <w:rPr>
          <w:rFonts w:hint="default" w:ascii="Verdana" w:hAnsi="Verdana" w:eastAsia="宋体" w:cs="宋体"/>
          <w:color w:val="333333"/>
          <w:kern w:val="0"/>
          <w:sz w:val="21"/>
          <w:szCs w:val="21"/>
          <w:lang w:val="en-US" w:eastAsia="zh-CN" w:bidi="ar"/>
        </w:rPr>
        <w:br w:type="textWrapping"/>
      </w:r>
      <w:r>
        <w:rPr>
          <w:rFonts w:hint="eastAsia" w:ascii="Verdana" w:hAnsi="Verdana" w:eastAsia="宋体" w:cs="宋体"/>
          <w:color w:val="333333"/>
          <w:kern w:val="0"/>
          <w:sz w:val="21"/>
          <w:szCs w:val="21"/>
          <w:lang w:val="en-US" w:eastAsia="zh-CN" w:bidi="ar"/>
        </w:rPr>
        <w:t>四、因疫病疫情、核生化突发事件以及打击走私、贩毒、非法出入境等情形需有关单位单独登临检查的，仍按有关规定执行。对于来自疫区的船舶需要检疫合格方可开展检查工作。</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　　</w:t>
      </w:r>
      <w:r>
        <w:rPr>
          <w:rFonts w:hint="default" w:ascii="Verdana" w:hAnsi="Verdana" w:eastAsia="宋体" w:cs="宋体"/>
          <w:color w:val="333333"/>
          <w:kern w:val="0"/>
          <w:sz w:val="21"/>
          <w:szCs w:val="21"/>
          <w:lang w:val="en-US" w:eastAsia="zh-CN" w:bidi="ar"/>
        </w:rPr>
        <w:br w:type="textWrapping"/>
      </w:r>
      <w:r>
        <w:rPr>
          <w:rFonts w:hint="eastAsia" w:ascii="Verdana" w:hAnsi="Verdana" w:eastAsia="宋体" w:cs="宋体"/>
          <w:color w:val="333333"/>
          <w:kern w:val="0"/>
          <w:sz w:val="21"/>
          <w:szCs w:val="21"/>
          <w:lang w:val="en-US" w:eastAsia="zh-CN" w:bidi="ar"/>
        </w:rPr>
        <w:t>五、联合登临检查工作坚持依法高效、方便船舶、分工合作的原则。各单位要按照</w:t>
      </w:r>
      <w:r>
        <w:rPr>
          <w:rFonts w:hint="default" w:ascii="Verdana" w:hAnsi="Verdana" w:eastAsia="宋体" w:cs="宋体"/>
          <w:color w:val="333333"/>
          <w:kern w:val="0"/>
          <w:sz w:val="21"/>
          <w:szCs w:val="21"/>
          <w:lang w:val="en-US" w:eastAsia="zh-CN" w:bidi="ar"/>
        </w:rPr>
        <w:t>“</w:t>
      </w:r>
      <w:r>
        <w:rPr>
          <w:rFonts w:hint="eastAsia" w:ascii="Verdana" w:hAnsi="Verdana" w:eastAsia="宋体" w:cs="宋体"/>
          <w:color w:val="333333"/>
          <w:kern w:val="0"/>
          <w:sz w:val="21"/>
          <w:szCs w:val="21"/>
          <w:lang w:val="en-US" w:eastAsia="zh-CN" w:bidi="ar"/>
        </w:rPr>
        <w:t>信息互换、监管互认、执法互助</w:t>
      </w:r>
      <w:r>
        <w:rPr>
          <w:rFonts w:hint="default" w:ascii="Verdana" w:hAnsi="Verdana" w:eastAsia="宋体" w:cs="宋体"/>
          <w:color w:val="333333"/>
          <w:kern w:val="0"/>
          <w:sz w:val="21"/>
          <w:szCs w:val="21"/>
          <w:lang w:val="en-US" w:eastAsia="zh-CN" w:bidi="ar"/>
        </w:rPr>
        <w:t>”</w:t>
      </w:r>
      <w:r>
        <w:rPr>
          <w:rFonts w:hint="eastAsia" w:ascii="Verdana" w:hAnsi="Verdana" w:eastAsia="宋体" w:cs="宋体"/>
          <w:color w:val="333333"/>
          <w:kern w:val="0"/>
          <w:sz w:val="21"/>
          <w:szCs w:val="21"/>
          <w:lang w:val="en-US" w:eastAsia="zh-CN" w:bidi="ar"/>
        </w:rPr>
        <w:t>的要求开展登临检查工作，要不断总结经验，并注意结合港口和工作实际，完善工作机制，不断提高港口口岸查验能力和服务水平。</w:t>
      </w:r>
    </w:p>
    <w:p>
      <w:pPr>
        <w:keepNext w:val="0"/>
        <w:keepLines w:val="0"/>
        <w:widowControl/>
        <w:suppressLineNumbers w:val="0"/>
        <w:snapToGrid w:val="0"/>
        <w:spacing w:before="0" w:beforeAutospacing="0" w:after="0" w:afterAutospacing="0" w:line="432" w:lineRule="auto"/>
        <w:ind w:left="0" w:right="0"/>
        <w:jc w:val="left"/>
        <w:rPr>
          <w:rFonts w:hint="default" w:ascii="Verdana" w:hAnsi="Verdana" w:cs="宋体"/>
          <w:color w:val="333333"/>
          <w:kern w:val="0"/>
          <w:sz w:val="18"/>
          <w:szCs w:val="18"/>
          <w:lang w:val="en-US"/>
        </w:rPr>
      </w:pPr>
      <w:r>
        <w:rPr>
          <w:rFonts w:hint="default" w:ascii="Verdana" w:hAnsi="Verdana" w:eastAsia="宋体" w:cs="宋体"/>
          <w:color w:val="333333"/>
          <w:kern w:val="0"/>
          <w:sz w:val="18"/>
          <w:szCs w:val="18"/>
          <w:lang w:val="en-US" w:eastAsia="zh-CN" w:bidi="ar"/>
        </w:rPr>
        <w:t> </w:t>
      </w:r>
    </w:p>
    <w:p>
      <w:pPr>
        <w:keepNext w:val="0"/>
        <w:keepLines w:val="0"/>
        <w:widowControl/>
        <w:suppressLineNumbers w:val="0"/>
        <w:snapToGrid w:val="0"/>
        <w:spacing w:before="0" w:beforeAutospacing="0" w:after="0" w:afterAutospacing="0" w:line="432" w:lineRule="auto"/>
        <w:ind w:left="0" w:right="0"/>
        <w:jc w:val="righ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交通运输部</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righ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公安部</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righ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海关总署</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right"/>
        <w:rPr>
          <w:rFonts w:hint="default" w:ascii="Verdana" w:hAnsi="Verdana" w:cs="宋体"/>
          <w:color w:val="333333"/>
          <w:kern w:val="0"/>
          <w:sz w:val="18"/>
          <w:szCs w:val="18"/>
          <w:lang w:val="en-US"/>
        </w:rPr>
      </w:pPr>
      <w:r>
        <w:rPr>
          <w:rFonts w:hint="eastAsia" w:ascii="Verdana" w:hAnsi="Verdana" w:eastAsia="宋体" w:cs="宋体"/>
          <w:color w:val="333333"/>
          <w:kern w:val="0"/>
          <w:sz w:val="21"/>
          <w:szCs w:val="21"/>
          <w:lang w:val="en-US" w:eastAsia="zh-CN" w:bidi="ar"/>
        </w:rPr>
        <w:t>质检总局</w:t>
      </w:r>
      <w:r>
        <w:rPr>
          <w:rFonts w:hint="default" w:ascii="Verdana" w:hAnsi="Verdana" w:eastAsia="宋体" w:cs="宋体"/>
          <w:color w:val="333333"/>
          <w:kern w:val="0"/>
          <w:sz w:val="21"/>
          <w:szCs w:val="21"/>
          <w:lang w:val="en-US" w:eastAsia="zh-CN" w:bidi="ar"/>
        </w:rPr>
        <w:t> </w:t>
      </w:r>
    </w:p>
    <w:p>
      <w:pPr>
        <w:keepNext w:val="0"/>
        <w:keepLines w:val="0"/>
        <w:widowControl/>
        <w:suppressLineNumbers w:val="0"/>
        <w:snapToGrid w:val="0"/>
        <w:spacing w:before="0" w:beforeAutospacing="0" w:after="0" w:afterAutospacing="0" w:line="432" w:lineRule="auto"/>
        <w:ind w:left="0" w:right="0"/>
        <w:jc w:val="right"/>
        <w:rPr>
          <w:rFonts w:hint="default" w:ascii="Verdana" w:hAnsi="Verdana" w:cs="宋体"/>
          <w:color w:val="333333"/>
          <w:kern w:val="0"/>
          <w:sz w:val="18"/>
          <w:szCs w:val="18"/>
          <w:lang w:val="en-US"/>
        </w:rPr>
      </w:pPr>
      <w:r>
        <w:rPr>
          <w:rFonts w:hint="default" w:ascii="Verdana" w:hAnsi="Verdana" w:eastAsia="宋体" w:cs="宋体"/>
          <w:color w:val="333333"/>
          <w:kern w:val="0"/>
          <w:sz w:val="21"/>
          <w:szCs w:val="21"/>
          <w:lang w:val="en-US" w:eastAsia="zh-CN" w:bidi="ar"/>
        </w:rPr>
        <w:t>2016</w:t>
      </w:r>
      <w:r>
        <w:rPr>
          <w:rFonts w:hint="eastAsia" w:ascii="Verdana" w:hAnsi="Verdana" w:eastAsia="宋体" w:cs="宋体"/>
          <w:color w:val="333333"/>
          <w:kern w:val="0"/>
          <w:sz w:val="21"/>
          <w:szCs w:val="21"/>
          <w:lang w:val="en-US" w:eastAsia="zh-CN" w:bidi="ar"/>
        </w:rPr>
        <w:t>年</w:t>
      </w:r>
      <w:r>
        <w:rPr>
          <w:rFonts w:hint="default" w:ascii="Verdana" w:hAnsi="Verdana" w:eastAsia="宋体" w:cs="宋体"/>
          <w:color w:val="333333"/>
          <w:kern w:val="0"/>
          <w:sz w:val="21"/>
          <w:szCs w:val="21"/>
          <w:lang w:val="en-US" w:eastAsia="zh-CN" w:bidi="ar"/>
        </w:rPr>
        <w:t>12</w:t>
      </w:r>
      <w:r>
        <w:rPr>
          <w:rFonts w:hint="eastAsia" w:ascii="Verdana" w:hAnsi="Verdana" w:eastAsia="宋体" w:cs="宋体"/>
          <w:color w:val="333333"/>
          <w:kern w:val="0"/>
          <w:sz w:val="21"/>
          <w:szCs w:val="21"/>
          <w:lang w:val="en-US" w:eastAsia="zh-CN" w:bidi="ar"/>
        </w:rPr>
        <w:t>月</w:t>
      </w:r>
      <w:r>
        <w:rPr>
          <w:rFonts w:hint="default" w:ascii="Verdana" w:hAnsi="Verdana" w:eastAsia="宋体" w:cs="宋体"/>
          <w:color w:val="333333"/>
          <w:kern w:val="0"/>
          <w:sz w:val="21"/>
          <w:szCs w:val="21"/>
          <w:lang w:val="en-US" w:eastAsia="zh-CN" w:bidi="ar"/>
        </w:rPr>
        <w:t>28</w:t>
      </w:r>
      <w:r>
        <w:rPr>
          <w:rFonts w:hint="eastAsia" w:ascii="Verdana" w:hAnsi="Verdana" w:eastAsia="宋体" w:cs="宋体"/>
          <w:color w:val="333333"/>
          <w:kern w:val="0"/>
          <w:sz w:val="21"/>
          <w:szCs w:val="21"/>
          <w:lang w:val="en-US" w:eastAsia="zh-CN" w:bidi="ar"/>
        </w:rPr>
        <w:t>日</w:t>
      </w:r>
    </w:p>
    <w:p>
      <w:pPr>
        <w:keepNext w:val="0"/>
        <w:keepLines w:val="0"/>
        <w:widowControl w:val="0"/>
        <w:suppressLineNumbers w:val="0"/>
        <w:snapToGrid w:val="0"/>
        <w:spacing w:before="0" w:beforeAutospacing="0" w:after="0" w:afterAutospacing="0"/>
        <w:ind w:left="0" w:right="0"/>
        <w:jc w:val="both"/>
        <w:rPr>
          <w:lang w:val="en-US"/>
        </w:rPr>
      </w:pP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variable"/>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D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1 Char"/>
    <w:basedOn w:val="3"/>
    <w:link w:val="2"/>
    <w:uiPriority w:val="0"/>
    <w:rPr>
      <w:rFonts w:hint="eastAsia" w:ascii="宋体" w:hAnsi="宋体" w:eastAsia="宋体" w:cs="宋体"/>
      <w:b/>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2018-08-30T07:19:04Z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