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7.4.3.2 关于实施东京备忘录港口国监督新检查机制有关事项的通知</w:t>
            </w:r>
          </w:p>
        </w:tc>
      </w:tr>
    </w:tbl>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b/>
          <w:color w:val="000000"/>
          <w:spacing w:val="-6"/>
          <w:kern w:val="0"/>
          <w:sz w:val="24"/>
          <w:szCs w:val="24"/>
          <w:lang w:val="en-US" w:eastAsia="zh-CN" w:bidi="ar"/>
        </w:rPr>
        <w:t>中华人民共和国海事局关于实施东京备忘录港口国监督新检查机制有关事项的通知</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color w:val="000000"/>
          <w:spacing w:val="-6"/>
          <w:kern w:val="0"/>
          <w:sz w:val="24"/>
          <w:szCs w:val="24"/>
          <w:lang w:val="en-US" w:eastAsia="zh-CN" w:bidi="ar"/>
        </w:rPr>
        <w:t>海船舶〔2013〕854号</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spacing w:val="-6"/>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color w:val="000000"/>
          <w:spacing w:val="-6"/>
          <w:kern w:val="0"/>
          <w:sz w:val="24"/>
          <w:szCs w:val="24"/>
          <w:lang w:val="en-US" w:eastAsia="zh-CN" w:bidi="ar"/>
        </w:rPr>
        <w:t>各直属海事局：</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color w:val="000000"/>
          <w:kern w:val="0"/>
          <w:sz w:val="24"/>
          <w:szCs w:val="24"/>
          <w:lang w:val="en-US" w:eastAsia="zh-CN" w:bidi="ar"/>
        </w:rPr>
        <w:t>自2014年1月1日开始，东京备忘录将在亚太地区推行港口国监督新检查机制（以下简称“新检查机制”），部海事局已组织翻译了《东京备忘录附则2-新检查机制》文本（见附件1），编写了《东京备忘录新检查机制总体介绍》（见附件2）。新检查机制采用全新的风险评估机制和检查策略，对航运业将产生较大影响。为切实执行好新检查机制，规范港口国监督行为，提高我国国际航行船舶履约水平，现就有关事项通知如下：</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color w:val="000000"/>
          <w:kern w:val="0"/>
          <w:sz w:val="24"/>
          <w:szCs w:val="24"/>
          <w:lang w:val="en-US" w:eastAsia="zh-CN" w:bidi="ar"/>
        </w:rPr>
        <w:t>一、各单位要高度重视新检查机制实施工作。各级海事管理机构要以实施新检查机制为契机,切实转变执法理念,规范执法程序，增强服务意识,不断提高我国港口国监督和船旗国履约水平。要把实施新检查机制与港口国监督检查质量考核、信息化建设等工作统筹安排，明确工作要求,确保新检查机制有效实施。</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color w:val="000000"/>
          <w:kern w:val="0"/>
          <w:sz w:val="24"/>
          <w:szCs w:val="24"/>
          <w:lang w:val="en-US" w:eastAsia="zh-CN" w:bidi="ar"/>
        </w:rPr>
        <w:t>二、要切实做好宣传和培训工作。各直属海事局应通过宣贯会、媒体和网站、座谈走访等方式开展新检查机制的宣传工作。使航运公司充分了解新检查机制的内容和要求，以及船舶风险属性、选船机制和公司绩效互相影响的重要性。各海事管理机构应对港口国监督检查官进行知识更新培训，使其全面掌握新检查机制的内容及相关程序规定，并在港口国监督检查官基础培训中增加新检查机制的内容。请港口国监督分委会做好新检查机制宣传手册的编印工作。</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color w:val="000000"/>
          <w:kern w:val="0"/>
          <w:sz w:val="24"/>
          <w:szCs w:val="24"/>
          <w:lang w:val="en-US" w:eastAsia="zh-CN" w:bidi="ar"/>
        </w:rPr>
        <w:t>三、进一步规范港口国监督检查程序。相关海事管理机构应结合新检查机制的要求更改完善本单位的选船和检查机制，并严格按照《港口国监督检查程序》（2011）实施检查。在选船时应最优先选取东京备忘录确定绝对优先级船舶和表现不佳船舶；按照新选船机制确定的检查时间窗口进行选船，避免在时间窗口打开前实施检查；在检查条件具备时，应做到优先级I的船舶必查。新检查机制实行后，单次检查缺陷数量将对评估公司绩效产生较大影响，海事管理机构应注重所有缺陷检查证据的保存及检查档案的管理。</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color w:val="000000"/>
          <w:kern w:val="0"/>
          <w:sz w:val="24"/>
          <w:szCs w:val="24"/>
          <w:lang w:val="en-US" w:eastAsia="zh-CN" w:bidi="ar"/>
        </w:rPr>
        <w:t>四、加强船旗国监督检查和指导。海事管理机构应加强对中国籍国际航行船舶的监督检查，严格督促航运公司、检验机构履行职责，确保船舶良好的技术状况，减少船舶在境外检查的缺陷数量。重点加强对安全管理体系运行情况和船员操作性的检查，发现问题立即责成船舶纠正，避免出现安全管理体系方面的缺陷；加强开航前检查，严格执行《国际航行船舶境外滞留应急处理和跟踪处置暂行办法》等规定；对处于高风险属性的船舶开展针对性的检查，帮助中国籍船舶提高应对港口国监督检查的能力；鼓励航运公司和船舶在应对国外港口国监督检查时，在有理有据的情况下进行合理的抗辩和申诉。</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color w:val="000000"/>
          <w:kern w:val="0"/>
          <w:sz w:val="24"/>
          <w:szCs w:val="24"/>
          <w:lang w:val="en-US" w:eastAsia="zh-CN" w:bidi="ar"/>
        </w:rPr>
        <w:t>五、加强对航运公司的监督管理。新检查机制中，大幅度提高了安全管理体系缺陷对船舶风险评估的权重。海事管理机构应督促航运公司完善安全管理体系，开展有针对性的自查自纠，确保公司对船舶良好的管理，切实承担安全管理主体责任，杜绝代而不管现象。安全管理体系审核机关和人员应严格审核航运公司体系运行情况，发现不符合规定情况时，应责成航运公司及时纠正整改，监督体系顺畅运行。</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color w:val="000000"/>
          <w:kern w:val="0"/>
          <w:sz w:val="24"/>
          <w:szCs w:val="24"/>
          <w:lang w:val="en-US" w:eastAsia="zh-CN" w:bidi="ar"/>
        </w:rPr>
        <w:t>六、做好信息化支持工作。港口国监督中国数据中心要尽快完成信息系统选船模块调整工作，并开展运用信息化手段控制船舶风险对策研究。</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color w:val="000000"/>
          <w:kern w:val="0"/>
          <w:sz w:val="24"/>
          <w:szCs w:val="24"/>
          <w:lang w:val="en-US" w:eastAsia="zh-CN" w:bidi="ar"/>
        </w:rPr>
        <w:t>七、其他要求</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color w:val="000000"/>
          <w:kern w:val="0"/>
          <w:sz w:val="24"/>
          <w:szCs w:val="24"/>
          <w:lang w:val="en-US" w:eastAsia="zh-CN" w:bidi="ar"/>
        </w:rPr>
        <w:t>（一）各直属海事局要按照《新检查机制实施工作任务清单》（见附件3）工作任务要求，认真做好落实工作。</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color w:val="000000"/>
          <w:kern w:val="0"/>
          <w:sz w:val="24"/>
          <w:szCs w:val="24"/>
          <w:lang w:val="en-US" w:eastAsia="zh-CN" w:bidi="ar"/>
        </w:rPr>
        <w:t>（二）各直属海事局要做好新检查机制的实施和评估工作，及时做好问题收集整理和经验总结，并于2014年4月30日前将阶段性总结报告报送部海事局。</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附件：1.东京备忘录附则2-新检查机制</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2.东京备忘录新检查机制总体介绍</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3.新检查机制实施工作任务分解表</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643"/>
        <w:jc w:val="right"/>
      </w:pPr>
      <w:r>
        <w:rPr>
          <w:rFonts w:hint="eastAsia" w:ascii="宋体" w:hAnsi="宋体" w:eastAsia="宋体" w:cs="宋体"/>
          <w:b/>
          <w:color w:val="000000"/>
          <w:spacing w:val="-6"/>
          <w:kern w:val="0"/>
          <w:sz w:val="24"/>
          <w:szCs w:val="24"/>
          <w:lang w:val="en-US" w:eastAsia="zh-CN" w:bidi="ar"/>
        </w:rPr>
        <w:t xml:space="preserve">                 </w:t>
      </w:r>
      <w:r>
        <w:rPr>
          <w:rFonts w:hint="eastAsia" w:ascii="宋体" w:hAnsi="宋体" w:eastAsia="宋体" w:cs="宋体"/>
          <w:color w:val="000000"/>
          <w:spacing w:val="-6"/>
          <w:kern w:val="0"/>
          <w:sz w:val="24"/>
          <w:szCs w:val="24"/>
          <w:lang w:val="en-US" w:eastAsia="zh-CN" w:bidi="ar"/>
        </w:rPr>
        <w:t>中华人民共和国海事局</w:t>
      </w:r>
    </w:p>
    <w:p>
      <w:pPr>
        <w:keepNext w:val="0"/>
        <w:keepLines w:val="0"/>
        <w:widowControl/>
        <w:suppressLineNumbers w:val="0"/>
        <w:snapToGrid w:val="0"/>
        <w:spacing w:before="0" w:beforeAutospacing="1" w:after="0" w:afterAutospacing="1" w:line="560" w:lineRule="atLeast"/>
        <w:ind w:left="0" w:right="863"/>
        <w:jc w:val="right"/>
      </w:pPr>
      <w:r>
        <w:rPr>
          <w:rFonts w:hint="eastAsia" w:ascii="宋体" w:hAnsi="宋体" w:eastAsia="宋体" w:cs="宋体"/>
          <w:spacing w:val="-6"/>
          <w:kern w:val="0"/>
          <w:sz w:val="24"/>
          <w:szCs w:val="24"/>
          <w:lang w:val="en-US" w:eastAsia="zh-CN" w:bidi="ar"/>
        </w:rPr>
        <w:t>2013年12月15日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color w:val="000000"/>
          <w:spacing w:val="-6"/>
          <w:sz w:val="24"/>
          <w:szCs w:val="24"/>
          <w:lang w:val="en-US" w:eastAsia="zh-CN" w:bidi="ar"/>
        </w:rPr>
        <w:br w:type="page"/>
      </w:r>
      <w:r>
        <w:rPr>
          <w:rFonts w:hint="eastAsia" w:ascii="宋体" w:hAnsi="宋体" w:eastAsia="宋体" w:cs="宋体"/>
          <w:color w:val="000000"/>
          <w:kern w:val="0"/>
          <w:sz w:val="24"/>
          <w:szCs w:val="24"/>
          <w:lang w:val="en-US" w:eastAsia="zh-CN" w:bidi="ar"/>
        </w:rPr>
        <w:t>附件1</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NEW INSPECTION REGIME</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新检查机制（NIR）</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kern w:val="0"/>
          <w:sz w:val="24"/>
          <w:szCs w:val="24"/>
          <w:lang w:val="en-US" w:eastAsia="zh-CN" w:bidi="ar"/>
        </w:rPr>
        <w:t>1    Ship Risk Profile</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kern w:val="0"/>
          <w:sz w:val="24"/>
          <w:szCs w:val="24"/>
          <w:lang w:val="en-US" w:eastAsia="zh-CN" w:bidi="ar"/>
        </w:rPr>
        <w:t>1    船舶风险属性</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1.1  All ships in the information system of APCIS will be assigned either as high, standard or low risk based on generic and historic parameters.</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1.1   依据类别和历史参数，港口国监督亚太地区计算机信息系统（以下简称APCIS）中的所有船舶可分为3类：高风险、标准风险和低风险。</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1.2  High Risk Ships (HRS) are ships which meet criteria to a total value of 4 or more weighting points.</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1.2   高风险船舶是指满足对应标准，权重值之和大于或等于4的船舶。</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1.3  Low Risk Ships (LRS) are ships which meet all the criteria of the LRS parameters and have had at least one inspection in the previous 36 months.</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1.3   低风险船舶是指满足所有的对应参数标准，并且在过去36个月中至少接受过一次检查的船舶。</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1.4  Standard Risk Ships (SRS) are ships which are neither LRS nor HRS.</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1.4   除高风险及低风险之外的船舶为标准风险船舶。</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Table 1 – Ship Risk Profile</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 </w:t>
      </w:r>
    </w:p>
    <w:tbl>
      <w:tblPr>
        <w:tblW w:w="8519" w:type="dxa"/>
        <w:tblInd w:w="0" w:type="dxa"/>
        <w:shd w:val="clear"/>
        <w:tblLayout w:type="fixed"/>
        <w:tblCellMar>
          <w:top w:w="0" w:type="dxa"/>
          <w:left w:w="0" w:type="dxa"/>
          <w:bottom w:w="0" w:type="dxa"/>
          <w:right w:w="0" w:type="dxa"/>
        </w:tblCellMar>
      </w:tblPr>
      <w:tblGrid>
        <w:gridCol w:w="1472"/>
        <w:gridCol w:w="1472"/>
        <w:gridCol w:w="1577"/>
        <w:gridCol w:w="1472"/>
        <w:gridCol w:w="1054"/>
        <w:gridCol w:w="1472"/>
      </w:tblGrid>
      <w:tr>
        <w:tblPrEx>
          <w:shd w:val="clear"/>
          <w:tblLayout w:type="fixed"/>
          <w:tblCellMar>
            <w:top w:w="0" w:type="dxa"/>
            <w:left w:w="0" w:type="dxa"/>
            <w:bottom w:w="0" w:type="dxa"/>
            <w:right w:w="0" w:type="dxa"/>
          </w:tblCellMar>
        </w:tblPrEx>
        <w:tc>
          <w:tcPr>
            <w:tcW w:w="2944" w:type="dxa"/>
            <w:gridSpan w:val="2"/>
            <w:vMerge w:val="restart"/>
            <w:tcBorders>
              <w:top w:val="single" w:color="auto" w:sz="12" w:space="0"/>
              <w:left w:val="single" w:color="auto" w:sz="12" w:space="0"/>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Parameters</w:t>
            </w:r>
          </w:p>
        </w:tc>
        <w:tc>
          <w:tcPr>
            <w:tcW w:w="5575" w:type="dxa"/>
            <w:gridSpan w:val="4"/>
            <w:tcBorders>
              <w:top w:val="single" w:color="auto" w:sz="12" w:space="0"/>
              <w:left w:val="nil"/>
              <w:bottom w:val="single" w:color="auto" w:sz="12" w:space="0"/>
              <w:right w:val="single" w:color="auto" w:sz="12"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Profile</w:t>
            </w:r>
          </w:p>
        </w:tc>
      </w:tr>
      <w:tr>
        <w:tblPrEx>
          <w:tblLayout w:type="fixed"/>
          <w:tblCellMar>
            <w:top w:w="0" w:type="dxa"/>
            <w:left w:w="0" w:type="dxa"/>
            <w:bottom w:w="0" w:type="dxa"/>
            <w:right w:w="0" w:type="dxa"/>
          </w:tblCellMar>
        </w:tblPrEx>
        <w:tc>
          <w:tcPr>
            <w:tcW w:w="2944" w:type="dxa"/>
            <w:gridSpan w:val="2"/>
            <w:vMerge w:val="continue"/>
            <w:tcBorders>
              <w:top w:val="single" w:color="auto" w:sz="12" w:space="0"/>
              <w:left w:val="single" w:color="auto" w:sz="12" w:space="0"/>
              <w:bottom w:val="single" w:color="auto" w:sz="12" w:space="0"/>
              <w:right w:val="single" w:color="auto" w:sz="12" w:space="0"/>
            </w:tcBorders>
            <w:shd w:val="clear"/>
            <w:tcMar>
              <w:left w:w="108" w:type="dxa"/>
              <w:right w:w="108" w:type="dxa"/>
            </w:tcMar>
            <w:vAlign w:val="center"/>
          </w:tcPr>
          <w:p>
            <w:pPr>
              <w:rPr>
                <w:rFonts w:hint="eastAsia" w:ascii="宋体"/>
                <w:sz w:val="24"/>
                <w:szCs w:val="24"/>
              </w:rPr>
            </w:pPr>
          </w:p>
        </w:tc>
        <w:tc>
          <w:tcPr>
            <w:tcW w:w="3049" w:type="dxa"/>
            <w:gridSpan w:val="2"/>
            <w:tcBorders>
              <w:top w:val="nil"/>
              <w:left w:val="nil"/>
              <w:bottom w:val="single" w:color="auto" w:sz="12" w:space="0"/>
              <w:right w:val="single" w:color="auto" w:sz="12" w:space="0"/>
            </w:tcBorders>
            <w:shd w:val="clear"/>
            <w:vAlign w:val="top"/>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High Risk Ship (HRS)</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(When sum of weighting points &gt;=4)</w:t>
            </w:r>
          </w:p>
        </w:tc>
        <w:tc>
          <w:tcPr>
            <w:tcW w:w="1054" w:type="dxa"/>
            <w:tcBorders>
              <w:top w:val="nil"/>
              <w:left w:val="nil"/>
              <w:bottom w:val="single" w:color="auto" w:sz="12" w:space="0"/>
              <w:right w:val="single" w:color="auto" w:sz="12"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Standard Risk Ship (SRS)</w:t>
            </w:r>
          </w:p>
        </w:tc>
        <w:tc>
          <w:tcPr>
            <w:tcW w:w="1472" w:type="dxa"/>
            <w:tcBorders>
              <w:top w:val="nil"/>
              <w:left w:val="nil"/>
              <w:bottom w:val="single" w:color="auto" w:sz="12" w:space="0"/>
              <w:right w:val="single" w:color="auto" w:sz="12"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Low Risk Ship (LRS)</w:t>
            </w:r>
          </w:p>
        </w:tc>
      </w:tr>
      <w:tr>
        <w:tblPrEx>
          <w:tblLayout w:type="fixed"/>
          <w:tblCellMar>
            <w:top w:w="0" w:type="dxa"/>
            <w:left w:w="0" w:type="dxa"/>
            <w:bottom w:w="0" w:type="dxa"/>
            <w:right w:w="0" w:type="dxa"/>
          </w:tblCellMar>
        </w:tblPrEx>
        <w:tc>
          <w:tcPr>
            <w:tcW w:w="2944" w:type="dxa"/>
            <w:gridSpan w:val="2"/>
            <w:vMerge w:val="continue"/>
            <w:tcBorders>
              <w:top w:val="single" w:color="auto" w:sz="12" w:space="0"/>
              <w:left w:val="single" w:color="auto" w:sz="12" w:space="0"/>
              <w:bottom w:val="single" w:color="auto" w:sz="12" w:space="0"/>
              <w:right w:val="single" w:color="auto" w:sz="12" w:space="0"/>
            </w:tcBorders>
            <w:shd w:val="clear"/>
            <w:tcMar>
              <w:left w:w="108" w:type="dxa"/>
              <w:right w:w="108" w:type="dxa"/>
            </w:tcMar>
            <w:vAlign w:val="center"/>
          </w:tcPr>
          <w:p>
            <w:pPr>
              <w:rPr>
                <w:rFonts w:hint="eastAsia" w:ascii="宋体"/>
                <w:sz w:val="24"/>
                <w:szCs w:val="24"/>
              </w:rPr>
            </w:pPr>
          </w:p>
        </w:tc>
        <w:tc>
          <w:tcPr>
            <w:tcW w:w="1577" w:type="dxa"/>
            <w:tcBorders>
              <w:top w:val="nil"/>
              <w:left w:val="nil"/>
              <w:bottom w:val="single" w:color="auto" w:sz="12" w:space="0"/>
              <w:right w:val="single" w:color="auto" w:sz="12"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Criteria</w:t>
            </w:r>
          </w:p>
        </w:tc>
        <w:tc>
          <w:tcPr>
            <w:tcW w:w="1472" w:type="dxa"/>
            <w:tcBorders>
              <w:top w:val="nil"/>
              <w:left w:val="nil"/>
              <w:bottom w:val="single" w:color="auto" w:sz="12" w:space="0"/>
              <w:right w:val="single" w:color="auto" w:sz="12"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Weighting points</w:t>
            </w:r>
          </w:p>
        </w:tc>
        <w:tc>
          <w:tcPr>
            <w:tcW w:w="1054" w:type="dxa"/>
            <w:tcBorders>
              <w:top w:val="nil"/>
              <w:left w:val="nil"/>
              <w:bottom w:val="single" w:color="auto" w:sz="12" w:space="0"/>
              <w:right w:val="single" w:color="auto" w:sz="12"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Criteria</w:t>
            </w:r>
          </w:p>
        </w:tc>
        <w:tc>
          <w:tcPr>
            <w:tcW w:w="1472" w:type="dxa"/>
            <w:tcBorders>
              <w:top w:val="nil"/>
              <w:left w:val="nil"/>
              <w:bottom w:val="single" w:color="auto" w:sz="12" w:space="0"/>
              <w:right w:val="single" w:color="auto" w:sz="12"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Criteria</w:t>
            </w:r>
          </w:p>
        </w:tc>
      </w:tr>
      <w:tr>
        <w:tblPrEx>
          <w:tblLayout w:type="fixed"/>
          <w:tblCellMar>
            <w:top w:w="0" w:type="dxa"/>
            <w:left w:w="0" w:type="dxa"/>
            <w:bottom w:w="0" w:type="dxa"/>
            <w:right w:w="0" w:type="dxa"/>
          </w:tblCellMar>
        </w:tblPrEx>
        <w:tc>
          <w:tcPr>
            <w:tcW w:w="2944" w:type="dxa"/>
            <w:gridSpan w:val="2"/>
            <w:tcBorders>
              <w:top w:val="nil"/>
              <w:left w:val="single" w:color="auto" w:sz="12" w:space="0"/>
              <w:bottom w:val="single" w:color="auto" w:sz="12" w:space="0"/>
              <w:right w:val="single" w:color="auto" w:sz="12" w:space="0"/>
            </w:tcBorders>
            <w:shd w:val="cle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Type of Ship</w:t>
            </w:r>
          </w:p>
        </w:tc>
        <w:tc>
          <w:tcPr>
            <w:tcW w:w="1577"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Chemical tanker,</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Gas Carrier,</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Oil tanker,</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Bulk carrier,</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Passenger ship</w:t>
            </w:r>
          </w:p>
        </w:tc>
        <w:tc>
          <w:tcPr>
            <w:tcW w:w="1472"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2</w:t>
            </w:r>
          </w:p>
        </w:tc>
        <w:tc>
          <w:tcPr>
            <w:tcW w:w="1054" w:type="dxa"/>
            <w:vMerge w:val="restart"/>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Neither LRS</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nor</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HRS</w:t>
            </w:r>
          </w:p>
        </w:tc>
        <w:tc>
          <w:tcPr>
            <w:tcW w:w="1472"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w:t>
            </w:r>
          </w:p>
        </w:tc>
      </w:tr>
      <w:tr>
        <w:tblPrEx>
          <w:tblLayout w:type="fixed"/>
          <w:tblCellMar>
            <w:top w:w="0" w:type="dxa"/>
            <w:left w:w="0" w:type="dxa"/>
            <w:bottom w:w="0" w:type="dxa"/>
            <w:right w:w="0" w:type="dxa"/>
          </w:tblCellMar>
        </w:tblPrEx>
        <w:tc>
          <w:tcPr>
            <w:tcW w:w="2944" w:type="dxa"/>
            <w:gridSpan w:val="2"/>
            <w:tcBorders>
              <w:top w:val="nil"/>
              <w:left w:val="single" w:color="auto" w:sz="12" w:space="0"/>
              <w:bottom w:val="single" w:color="auto" w:sz="12" w:space="0"/>
              <w:right w:val="single" w:color="auto" w:sz="12" w:space="0"/>
            </w:tcBorders>
            <w:shd w:val="cle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Age of Ship</w:t>
            </w:r>
          </w:p>
        </w:tc>
        <w:tc>
          <w:tcPr>
            <w:tcW w:w="1577"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All types &gt; 12y</w:t>
            </w:r>
          </w:p>
        </w:tc>
        <w:tc>
          <w:tcPr>
            <w:tcW w:w="1472"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1054" w:type="dxa"/>
            <w:vMerge w:val="continue"/>
            <w:tcBorders>
              <w:top w:val="nil"/>
              <w:left w:val="nil"/>
              <w:bottom w:val="single" w:color="auto" w:sz="12" w:space="0"/>
              <w:right w:val="single" w:color="auto" w:sz="12" w:space="0"/>
            </w:tcBorders>
            <w:shd w:val="clear"/>
            <w:tcMar>
              <w:left w:w="108" w:type="dxa"/>
              <w:right w:w="108" w:type="dxa"/>
            </w:tcMar>
            <w:vAlign w:val="center"/>
          </w:tcPr>
          <w:p>
            <w:pPr>
              <w:rPr>
                <w:rFonts w:hint="eastAsia" w:ascii="宋体"/>
                <w:sz w:val="24"/>
                <w:szCs w:val="24"/>
              </w:rPr>
            </w:pPr>
          </w:p>
        </w:tc>
        <w:tc>
          <w:tcPr>
            <w:tcW w:w="1472"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w:t>
            </w:r>
          </w:p>
        </w:tc>
      </w:tr>
      <w:tr>
        <w:tblPrEx>
          <w:tblLayout w:type="fixed"/>
          <w:tblCellMar>
            <w:top w:w="0" w:type="dxa"/>
            <w:left w:w="0" w:type="dxa"/>
            <w:bottom w:w="0" w:type="dxa"/>
            <w:right w:w="0" w:type="dxa"/>
          </w:tblCellMar>
        </w:tblPrEx>
        <w:tc>
          <w:tcPr>
            <w:tcW w:w="1472" w:type="dxa"/>
            <w:vMerge w:val="restart"/>
            <w:tcBorders>
              <w:top w:val="nil"/>
              <w:left w:val="single" w:color="auto" w:sz="12" w:space="0"/>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Flag</w:t>
            </w:r>
          </w:p>
        </w:tc>
        <w:tc>
          <w:tcPr>
            <w:tcW w:w="1472" w:type="dxa"/>
            <w:tcBorders>
              <w:top w:val="nil"/>
              <w:left w:val="nil"/>
              <w:bottom w:val="single" w:color="auto" w:sz="12" w:space="0"/>
              <w:right w:val="single" w:color="auto" w:sz="12"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BGW-list</w:t>
            </w:r>
            <w:r>
              <w:rPr>
                <w:rFonts w:hint="eastAsia" w:ascii="宋体" w:hAnsi="宋体" w:eastAsia="宋体" w:cs="宋体"/>
                <w:kern w:val="0"/>
                <w:sz w:val="24"/>
                <w:szCs w:val="24"/>
                <w:bdr w:val="none" w:color="auto" w:sz="0" w:space="0"/>
                <w:vertAlign w:val="superscript"/>
                <w:lang w:val="en-US" w:eastAsia="zh-CN" w:bidi="ar"/>
              </w:rPr>
              <w:t>1)</w:t>
            </w:r>
          </w:p>
        </w:tc>
        <w:tc>
          <w:tcPr>
            <w:tcW w:w="1577"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Black</w:t>
            </w:r>
          </w:p>
        </w:tc>
        <w:tc>
          <w:tcPr>
            <w:tcW w:w="1472"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1054" w:type="dxa"/>
            <w:vMerge w:val="continue"/>
            <w:tcBorders>
              <w:top w:val="nil"/>
              <w:left w:val="nil"/>
              <w:bottom w:val="single" w:color="auto" w:sz="12" w:space="0"/>
              <w:right w:val="single" w:color="auto" w:sz="12" w:space="0"/>
            </w:tcBorders>
            <w:shd w:val="clear"/>
            <w:tcMar>
              <w:left w:w="108" w:type="dxa"/>
              <w:right w:w="108" w:type="dxa"/>
            </w:tcMar>
            <w:vAlign w:val="center"/>
          </w:tcPr>
          <w:p>
            <w:pPr>
              <w:rPr>
                <w:rFonts w:hint="eastAsia" w:ascii="宋体"/>
                <w:sz w:val="24"/>
                <w:szCs w:val="24"/>
              </w:rPr>
            </w:pPr>
          </w:p>
        </w:tc>
        <w:tc>
          <w:tcPr>
            <w:tcW w:w="1472"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White</w:t>
            </w:r>
          </w:p>
        </w:tc>
      </w:tr>
      <w:tr>
        <w:tblPrEx>
          <w:tblLayout w:type="fixed"/>
          <w:tblCellMar>
            <w:top w:w="0" w:type="dxa"/>
            <w:left w:w="0" w:type="dxa"/>
            <w:bottom w:w="0" w:type="dxa"/>
            <w:right w:w="0" w:type="dxa"/>
          </w:tblCellMar>
        </w:tblPrEx>
        <w:tc>
          <w:tcPr>
            <w:tcW w:w="1472" w:type="dxa"/>
            <w:vMerge w:val="continue"/>
            <w:tcBorders>
              <w:top w:val="nil"/>
              <w:left w:val="single" w:color="auto" w:sz="12" w:space="0"/>
              <w:bottom w:val="single" w:color="auto" w:sz="12" w:space="0"/>
              <w:right w:val="single" w:color="auto" w:sz="12" w:space="0"/>
            </w:tcBorders>
            <w:shd w:val="clear"/>
            <w:tcMar>
              <w:left w:w="108" w:type="dxa"/>
              <w:right w:w="108" w:type="dxa"/>
            </w:tcMar>
            <w:vAlign w:val="center"/>
          </w:tcPr>
          <w:p>
            <w:pPr>
              <w:rPr>
                <w:rFonts w:hint="eastAsia" w:ascii="宋体"/>
                <w:sz w:val="24"/>
                <w:szCs w:val="24"/>
              </w:rPr>
            </w:pPr>
          </w:p>
        </w:tc>
        <w:tc>
          <w:tcPr>
            <w:tcW w:w="1472" w:type="dxa"/>
            <w:tcBorders>
              <w:top w:val="nil"/>
              <w:left w:val="nil"/>
              <w:bottom w:val="single" w:color="auto" w:sz="12" w:space="0"/>
              <w:right w:val="single" w:color="auto" w:sz="12"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VIMSAS</w:t>
            </w:r>
            <w:r>
              <w:rPr>
                <w:rFonts w:hint="eastAsia" w:ascii="宋体" w:hAnsi="宋体" w:eastAsia="宋体" w:cs="宋体"/>
                <w:kern w:val="0"/>
                <w:sz w:val="24"/>
                <w:szCs w:val="24"/>
                <w:bdr w:val="none" w:color="auto" w:sz="0" w:space="0"/>
                <w:vertAlign w:val="superscript"/>
                <w:lang w:val="en-US" w:eastAsia="zh-CN" w:bidi="ar"/>
              </w:rPr>
              <w:t>2)</w:t>
            </w:r>
          </w:p>
        </w:tc>
        <w:tc>
          <w:tcPr>
            <w:tcW w:w="1577"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472"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054" w:type="dxa"/>
            <w:vMerge w:val="continue"/>
            <w:tcBorders>
              <w:top w:val="nil"/>
              <w:left w:val="nil"/>
              <w:bottom w:val="single" w:color="auto" w:sz="12" w:space="0"/>
              <w:right w:val="single" w:color="auto" w:sz="12" w:space="0"/>
            </w:tcBorders>
            <w:shd w:val="clear"/>
            <w:tcMar>
              <w:left w:w="108" w:type="dxa"/>
              <w:right w:w="108" w:type="dxa"/>
            </w:tcMar>
            <w:vAlign w:val="center"/>
          </w:tcPr>
          <w:p>
            <w:pPr>
              <w:rPr>
                <w:rFonts w:hint="eastAsia" w:ascii="宋体"/>
                <w:sz w:val="24"/>
                <w:szCs w:val="24"/>
              </w:rPr>
            </w:pPr>
          </w:p>
        </w:tc>
        <w:tc>
          <w:tcPr>
            <w:tcW w:w="1472"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Yes</w:t>
            </w:r>
          </w:p>
        </w:tc>
      </w:tr>
      <w:tr>
        <w:tblPrEx>
          <w:tblLayout w:type="fixed"/>
          <w:tblCellMar>
            <w:top w:w="0" w:type="dxa"/>
            <w:left w:w="0" w:type="dxa"/>
            <w:bottom w:w="0" w:type="dxa"/>
            <w:right w:w="0" w:type="dxa"/>
          </w:tblCellMar>
        </w:tblPrEx>
        <w:tc>
          <w:tcPr>
            <w:tcW w:w="1472" w:type="dxa"/>
            <w:vMerge w:val="restart"/>
            <w:tcBorders>
              <w:top w:val="nil"/>
              <w:left w:val="single" w:color="auto" w:sz="12" w:space="0"/>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Recognized Organization</w:t>
            </w:r>
          </w:p>
        </w:tc>
        <w:tc>
          <w:tcPr>
            <w:tcW w:w="1472" w:type="dxa"/>
            <w:tcBorders>
              <w:top w:val="nil"/>
              <w:left w:val="nil"/>
              <w:bottom w:val="single" w:color="auto" w:sz="12" w:space="0"/>
              <w:right w:val="single" w:color="auto" w:sz="12"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RO of Tokyo MOU</w:t>
            </w:r>
            <w:r>
              <w:rPr>
                <w:rFonts w:hint="eastAsia" w:ascii="宋体" w:hAnsi="宋体" w:eastAsia="宋体" w:cs="宋体"/>
                <w:kern w:val="0"/>
                <w:sz w:val="24"/>
                <w:szCs w:val="24"/>
                <w:bdr w:val="none" w:color="auto" w:sz="0" w:space="0"/>
                <w:vertAlign w:val="superscript"/>
                <w:lang w:val="en-US" w:eastAsia="zh-CN" w:bidi="ar"/>
              </w:rPr>
              <w:t>3)</w:t>
            </w:r>
          </w:p>
        </w:tc>
        <w:tc>
          <w:tcPr>
            <w:tcW w:w="1577"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472"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054" w:type="dxa"/>
            <w:vMerge w:val="continue"/>
            <w:tcBorders>
              <w:top w:val="nil"/>
              <w:left w:val="nil"/>
              <w:bottom w:val="single" w:color="auto" w:sz="12" w:space="0"/>
              <w:right w:val="single" w:color="auto" w:sz="12" w:space="0"/>
            </w:tcBorders>
            <w:shd w:val="clear"/>
            <w:tcMar>
              <w:left w:w="108" w:type="dxa"/>
              <w:right w:w="108" w:type="dxa"/>
            </w:tcMar>
            <w:vAlign w:val="center"/>
          </w:tcPr>
          <w:p>
            <w:pPr>
              <w:rPr>
                <w:rFonts w:hint="eastAsia" w:ascii="宋体"/>
                <w:sz w:val="24"/>
                <w:szCs w:val="24"/>
              </w:rPr>
            </w:pPr>
          </w:p>
        </w:tc>
        <w:tc>
          <w:tcPr>
            <w:tcW w:w="1472"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Yes</w:t>
            </w:r>
          </w:p>
        </w:tc>
      </w:tr>
      <w:tr>
        <w:tblPrEx>
          <w:tblLayout w:type="fixed"/>
          <w:tblCellMar>
            <w:top w:w="0" w:type="dxa"/>
            <w:left w:w="0" w:type="dxa"/>
            <w:bottom w:w="0" w:type="dxa"/>
            <w:right w:w="0" w:type="dxa"/>
          </w:tblCellMar>
        </w:tblPrEx>
        <w:trPr>
          <w:cantSplit/>
        </w:trPr>
        <w:tc>
          <w:tcPr>
            <w:tcW w:w="1472" w:type="dxa"/>
            <w:vMerge w:val="continue"/>
            <w:tcBorders>
              <w:top w:val="nil"/>
              <w:left w:val="single" w:color="auto" w:sz="12" w:space="0"/>
              <w:bottom w:val="single" w:color="auto" w:sz="12" w:space="0"/>
              <w:right w:val="single" w:color="auto" w:sz="12" w:space="0"/>
            </w:tcBorders>
            <w:shd w:val="clear"/>
            <w:tcMar>
              <w:left w:w="108" w:type="dxa"/>
              <w:right w:w="108" w:type="dxa"/>
            </w:tcMar>
            <w:vAlign w:val="center"/>
          </w:tcPr>
          <w:p>
            <w:pPr>
              <w:rPr>
                <w:rFonts w:hint="eastAsia" w:ascii="宋体"/>
                <w:sz w:val="24"/>
                <w:szCs w:val="24"/>
              </w:rPr>
            </w:pPr>
          </w:p>
        </w:tc>
        <w:tc>
          <w:tcPr>
            <w:tcW w:w="1472" w:type="dxa"/>
            <w:tcBorders>
              <w:top w:val="nil"/>
              <w:left w:val="nil"/>
              <w:bottom w:val="single" w:color="auto" w:sz="12" w:space="0"/>
              <w:right w:val="single" w:color="auto" w:sz="12"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Performance</w:t>
            </w:r>
            <w:r>
              <w:rPr>
                <w:rFonts w:hint="eastAsia" w:ascii="宋体" w:hAnsi="宋体" w:eastAsia="宋体" w:cs="宋体"/>
                <w:kern w:val="0"/>
                <w:sz w:val="24"/>
                <w:szCs w:val="24"/>
                <w:bdr w:val="none" w:color="auto" w:sz="0" w:space="0"/>
                <w:vertAlign w:val="superscript"/>
                <w:lang w:val="en-US" w:eastAsia="zh-CN" w:bidi="ar"/>
              </w:rPr>
              <w:t>4)</w:t>
            </w:r>
          </w:p>
        </w:tc>
        <w:tc>
          <w:tcPr>
            <w:tcW w:w="1577"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Low</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Very Low</w:t>
            </w:r>
          </w:p>
        </w:tc>
        <w:tc>
          <w:tcPr>
            <w:tcW w:w="1472"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1054" w:type="dxa"/>
            <w:vMerge w:val="continue"/>
            <w:tcBorders>
              <w:top w:val="nil"/>
              <w:left w:val="nil"/>
              <w:bottom w:val="single" w:color="auto" w:sz="12" w:space="0"/>
              <w:right w:val="single" w:color="auto" w:sz="12" w:space="0"/>
            </w:tcBorders>
            <w:shd w:val="clear"/>
            <w:tcMar>
              <w:left w:w="108" w:type="dxa"/>
              <w:right w:w="108" w:type="dxa"/>
            </w:tcMar>
            <w:vAlign w:val="center"/>
          </w:tcPr>
          <w:p>
            <w:pPr>
              <w:rPr>
                <w:rFonts w:hint="eastAsia" w:ascii="宋体"/>
                <w:sz w:val="24"/>
                <w:szCs w:val="24"/>
              </w:rPr>
            </w:pPr>
          </w:p>
        </w:tc>
        <w:tc>
          <w:tcPr>
            <w:tcW w:w="1472"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High</w:t>
            </w:r>
          </w:p>
        </w:tc>
      </w:tr>
      <w:tr>
        <w:tblPrEx>
          <w:tblLayout w:type="fixed"/>
          <w:tblCellMar>
            <w:top w:w="0" w:type="dxa"/>
            <w:left w:w="0" w:type="dxa"/>
            <w:bottom w:w="0" w:type="dxa"/>
            <w:right w:w="0" w:type="dxa"/>
          </w:tblCellMar>
        </w:tblPrEx>
        <w:tc>
          <w:tcPr>
            <w:tcW w:w="2944" w:type="dxa"/>
            <w:gridSpan w:val="2"/>
            <w:tcBorders>
              <w:top w:val="nil"/>
              <w:left w:val="single" w:color="auto" w:sz="12" w:space="0"/>
              <w:bottom w:val="single" w:color="auto" w:sz="12" w:space="0"/>
              <w:right w:val="single" w:color="auto" w:sz="12" w:space="0"/>
            </w:tcBorders>
            <w:shd w:val="cle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Company performance</w:t>
            </w:r>
            <w:r>
              <w:rPr>
                <w:rFonts w:hint="eastAsia" w:ascii="宋体" w:hAnsi="宋体" w:eastAsia="宋体" w:cs="宋体"/>
                <w:kern w:val="0"/>
                <w:sz w:val="24"/>
                <w:szCs w:val="24"/>
                <w:bdr w:val="none" w:color="auto" w:sz="0" w:space="0"/>
                <w:vertAlign w:val="superscript"/>
                <w:lang w:val="en-US" w:eastAsia="zh-CN" w:bidi="ar"/>
              </w:rPr>
              <w:t>5)</w:t>
            </w:r>
          </w:p>
        </w:tc>
        <w:tc>
          <w:tcPr>
            <w:tcW w:w="1577"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Low</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Very Low</w:t>
            </w:r>
          </w:p>
        </w:tc>
        <w:tc>
          <w:tcPr>
            <w:tcW w:w="1472"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2</w:t>
            </w:r>
          </w:p>
        </w:tc>
        <w:tc>
          <w:tcPr>
            <w:tcW w:w="1054" w:type="dxa"/>
            <w:vMerge w:val="continue"/>
            <w:tcBorders>
              <w:top w:val="nil"/>
              <w:left w:val="nil"/>
              <w:bottom w:val="single" w:color="auto" w:sz="12" w:space="0"/>
              <w:right w:val="single" w:color="auto" w:sz="12" w:space="0"/>
            </w:tcBorders>
            <w:shd w:val="clear"/>
            <w:tcMar>
              <w:left w:w="108" w:type="dxa"/>
              <w:right w:w="108" w:type="dxa"/>
            </w:tcMar>
            <w:vAlign w:val="center"/>
          </w:tcPr>
          <w:p>
            <w:pPr>
              <w:rPr>
                <w:rFonts w:hint="eastAsia" w:ascii="宋体"/>
                <w:sz w:val="24"/>
                <w:szCs w:val="24"/>
              </w:rPr>
            </w:pPr>
          </w:p>
        </w:tc>
        <w:tc>
          <w:tcPr>
            <w:tcW w:w="1472"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High</w:t>
            </w:r>
          </w:p>
        </w:tc>
      </w:tr>
      <w:tr>
        <w:tblPrEx>
          <w:tblLayout w:type="fixed"/>
          <w:tblCellMar>
            <w:top w:w="0" w:type="dxa"/>
            <w:left w:w="0" w:type="dxa"/>
            <w:bottom w:w="0" w:type="dxa"/>
            <w:right w:w="0" w:type="dxa"/>
          </w:tblCellMar>
        </w:tblPrEx>
        <w:tc>
          <w:tcPr>
            <w:tcW w:w="1472" w:type="dxa"/>
            <w:tcBorders>
              <w:top w:val="nil"/>
              <w:left w:val="single" w:color="auto" w:sz="12" w:space="0"/>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Deficiencies</w:t>
            </w:r>
          </w:p>
        </w:tc>
        <w:tc>
          <w:tcPr>
            <w:tcW w:w="1472" w:type="dxa"/>
            <w:tcBorders>
              <w:top w:val="nil"/>
              <w:left w:val="nil"/>
              <w:bottom w:val="single" w:color="auto" w:sz="12" w:space="0"/>
              <w:right w:val="single" w:color="auto" w:sz="12"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Number of deficiencies recorded in each inspection within previous 36 months</w:t>
            </w:r>
          </w:p>
        </w:tc>
        <w:tc>
          <w:tcPr>
            <w:tcW w:w="1577"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How many inspections were there which recorded over 5 deficiencies?</w:t>
            </w:r>
          </w:p>
        </w:tc>
        <w:tc>
          <w:tcPr>
            <w:tcW w:w="1472"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 xml:space="preserve">No. of inspections which recorded over 5 deficiencies </w:t>
            </w:r>
          </w:p>
        </w:tc>
        <w:tc>
          <w:tcPr>
            <w:tcW w:w="1054" w:type="dxa"/>
            <w:vMerge w:val="continue"/>
            <w:tcBorders>
              <w:top w:val="nil"/>
              <w:left w:val="nil"/>
              <w:bottom w:val="single" w:color="auto" w:sz="12" w:space="0"/>
              <w:right w:val="single" w:color="auto" w:sz="12" w:space="0"/>
            </w:tcBorders>
            <w:shd w:val="clear"/>
            <w:tcMar>
              <w:left w:w="108" w:type="dxa"/>
              <w:right w:w="108" w:type="dxa"/>
            </w:tcMar>
            <w:vAlign w:val="center"/>
          </w:tcPr>
          <w:p>
            <w:pPr>
              <w:rPr>
                <w:rFonts w:hint="eastAsia" w:ascii="宋体"/>
                <w:sz w:val="24"/>
                <w:szCs w:val="24"/>
              </w:rPr>
            </w:pPr>
          </w:p>
        </w:tc>
        <w:tc>
          <w:tcPr>
            <w:tcW w:w="1472"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All inspections have 5 or less deficiencies (at least one inspection within previous 36 months)</w:t>
            </w:r>
          </w:p>
        </w:tc>
      </w:tr>
      <w:tr>
        <w:tblPrEx>
          <w:tblLayout w:type="fixed"/>
          <w:tblCellMar>
            <w:top w:w="0" w:type="dxa"/>
            <w:left w:w="0" w:type="dxa"/>
            <w:bottom w:w="0" w:type="dxa"/>
            <w:right w:w="0" w:type="dxa"/>
          </w:tblCellMar>
        </w:tblPrEx>
        <w:tc>
          <w:tcPr>
            <w:tcW w:w="1472" w:type="dxa"/>
            <w:tcBorders>
              <w:top w:val="nil"/>
              <w:left w:val="single" w:color="auto" w:sz="12" w:space="0"/>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Detentions</w:t>
            </w:r>
          </w:p>
        </w:tc>
        <w:tc>
          <w:tcPr>
            <w:tcW w:w="1472" w:type="dxa"/>
            <w:tcBorders>
              <w:top w:val="nil"/>
              <w:left w:val="nil"/>
              <w:bottom w:val="single" w:color="auto" w:sz="12" w:space="0"/>
              <w:right w:val="single" w:color="auto" w:sz="12"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Number of Detention within previous 36 months</w:t>
            </w:r>
          </w:p>
        </w:tc>
        <w:tc>
          <w:tcPr>
            <w:tcW w:w="1577"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3 or more detentions</w:t>
            </w:r>
          </w:p>
        </w:tc>
        <w:tc>
          <w:tcPr>
            <w:tcW w:w="1472"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1054" w:type="dxa"/>
            <w:vMerge w:val="continue"/>
            <w:tcBorders>
              <w:top w:val="nil"/>
              <w:left w:val="nil"/>
              <w:bottom w:val="single" w:color="auto" w:sz="12" w:space="0"/>
              <w:right w:val="single" w:color="auto" w:sz="12" w:space="0"/>
            </w:tcBorders>
            <w:shd w:val="clear"/>
            <w:tcMar>
              <w:left w:w="108" w:type="dxa"/>
              <w:right w:w="108" w:type="dxa"/>
            </w:tcMar>
            <w:vAlign w:val="center"/>
          </w:tcPr>
          <w:p>
            <w:pPr>
              <w:rPr>
                <w:rFonts w:hint="eastAsia" w:ascii="宋体"/>
                <w:sz w:val="24"/>
                <w:szCs w:val="24"/>
              </w:rPr>
            </w:pPr>
          </w:p>
        </w:tc>
        <w:tc>
          <w:tcPr>
            <w:tcW w:w="1472"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No detention</w:t>
            </w:r>
          </w:p>
        </w:tc>
      </w:tr>
    </w:tbl>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表1 船舶风险属性</w:t>
      </w:r>
    </w:p>
    <w:tbl>
      <w:tblPr>
        <w:tblW w:w="8518" w:type="dxa"/>
        <w:tblInd w:w="0" w:type="dxa"/>
        <w:shd w:val="clear"/>
        <w:tblLayout w:type="fixed"/>
        <w:tblCellMar>
          <w:top w:w="0" w:type="dxa"/>
          <w:left w:w="0" w:type="dxa"/>
          <w:bottom w:w="0" w:type="dxa"/>
          <w:right w:w="0" w:type="dxa"/>
        </w:tblCellMar>
      </w:tblPr>
      <w:tblGrid>
        <w:gridCol w:w="1635"/>
        <w:gridCol w:w="1377"/>
        <w:gridCol w:w="1523"/>
        <w:gridCol w:w="1219"/>
        <w:gridCol w:w="1067"/>
        <w:gridCol w:w="1697"/>
      </w:tblGrid>
      <w:tr>
        <w:tblPrEx>
          <w:shd w:val="clear"/>
          <w:tblLayout w:type="fixed"/>
          <w:tblCellMar>
            <w:top w:w="0" w:type="dxa"/>
            <w:left w:w="0" w:type="dxa"/>
            <w:bottom w:w="0" w:type="dxa"/>
            <w:right w:w="0" w:type="dxa"/>
          </w:tblCellMar>
        </w:tblPrEx>
        <w:tc>
          <w:tcPr>
            <w:tcW w:w="3012" w:type="dxa"/>
            <w:gridSpan w:val="2"/>
            <w:vMerge w:val="restart"/>
            <w:tcBorders>
              <w:top w:val="single" w:color="auto" w:sz="12" w:space="0"/>
              <w:left w:val="single" w:color="auto" w:sz="12" w:space="0"/>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参数</w:t>
            </w:r>
          </w:p>
        </w:tc>
        <w:tc>
          <w:tcPr>
            <w:tcW w:w="5506" w:type="dxa"/>
            <w:gridSpan w:val="4"/>
            <w:tcBorders>
              <w:top w:val="single" w:color="auto" w:sz="12" w:space="0"/>
              <w:left w:val="nil"/>
              <w:bottom w:val="single" w:color="auto" w:sz="12" w:space="0"/>
              <w:right w:val="single" w:color="auto" w:sz="12"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属性</w:t>
            </w:r>
          </w:p>
        </w:tc>
      </w:tr>
      <w:tr>
        <w:tblPrEx>
          <w:tblLayout w:type="fixed"/>
          <w:tblCellMar>
            <w:top w:w="0" w:type="dxa"/>
            <w:left w:w="0" w:type="dxa"/>
            <w:bottom w:w="0" w:type="dxa"/>
            <w:right w:w="0" w:type="dxa"/>
          </w:tblCellMar>
        </w:tblPrEx>
        <w:tc>
          <w:tcPr>
            <w:tcW w:w="3012" w:type="dxa"/>
            <w:gridSpan w:val="2"/>
            <w:vMerge w:val="continue"/>
            <w:tcBorders>
              <w:top w:val="single" w:color="auto" w:sz="12" w:space="0"/>
              <w:left w:val="single" w:color="auto" w:sz="12" w:space="0"/>
              <w:bottom w:val="single" w:color="auto" w:sz="12" w:space="0"/>
              <w:right w:val="single" w:color="auto" w:sz="12" w:space="0"/>
            </w:tcBorders>
            <w:shd w:val="clear"/>
            <w:tcMar>
              <w:left w:w="108" w:type="dxa"/>
              <w:right w:w="108" w:type="dxa"/>
            </w:tcMar>
            <w:vAlign w:val="center"/>
          </w:tcPr>
          <w:p>
            <w:pPr>
              <w:rPr>
                <w:rFonts w:hint="eastAsia" w:ascii="宋体"/>
                <w:sz w:val="24"/>
                <w:szCs w:val="24"/>
              </w:rPr>
            </w:pPr>
          </w:p>
        </w:tc>
        <w:tc>
          <w:tcPr>
            <w:tcW w:w="2742" w:type="dxa"/>
            <w:gridSpan w:val="2"/>
            <w:tcBorders>
              <w:top w:val="nil"/>
              <w:left w:val="nil"/>
              <w:bottom w:val="single" w:color="auto" w:sz="12" w:space="0"/>
              <w:right w:val="single" w:color="auto" w:sz="12" w:space="0"/>
            </w:tcBorders>
            <w:shd w:val="clear"/>
            <w:vAlign w:val="top"/>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高风险船舶 (HRS)</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(权重值之和 &gt;=4)</w:t>
            </w:r>
          </w:p>
        </w:tc>
        <w:tc>
          <w:tcPr>
            <w:tcW w:w="1067" w:type="dxa"/>
            <w:tcBorders>
              <w:top w:val="nil"/>
              <w:left w:val="nil"/>
              <w:bottom w:val="single" w:color="auto" w:sz="12" w:space="0"/>
              <w:right w:val="single" w:color="auto" w:sz="12"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标准风险船舶 (SRS)</w:t>
            </w:r>
          </w:p>
        </w:tc>
        <w:tc>
          <w:tcPr>
            <w:tcW w:w="1697" w:type="dxa"/>
            <w:tcBorders>
              <w:top w:val="nil"/>
              <w:left w:val="nil"/>
              <w:bottom w:val="single" w:color="auto" w:sz="12" w:space="0"/>
              <w:right w:val="single" w:color="auto" w:sz="12"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低风险船舶 (LRS)</w:t>
            </w:r>
          </w:p>
        </w:tc>
      </w:tr>
      <w:tr>
        <w:tblPrEx>
          <w:tblLayout w:type="fixed"/>
          <w:tblCellMar>
            <w:top w:w="0" w:type="dxa"/>
            <w:left w:w="0" w:type="dxa"/>
            <w:bottom w:w="0" w:type="dxa"/>
            <w:right w:w="0" w:type="dxa"/>
          </w:tblCellMar>
        </w:tblPrEx>
        <w:tc>
          <w:tcPr>
            <w:tcW w:w="3012" w:type="dxa"/>
            <w:gridSpan w:val="2"/>
            <w:vMerge w:val="continue"/>
            <w:tcBorders>
              <w:top w:val="single" w:color="auto" w:sz="12" w:space="0"/>
              <w:left w:val="single" w:color="auto" w:sz="12" w:space="0"/>
              <w:bottom w:val="single" w:color="auto" w:sz="12" w:space="0"/>
              <w:right w:val="single" w:color="auto" w:sz="12" w:space="0"/>
            </w:tcBorders>
            <w:shd w:val="clear"/>
            <w:tcMar>
              <w:left w:w="108" w:type="dxa"/>
              <w:right w:w="108" w:type="dxa"/>
            </w:tcMar>
            <w:vAlign w:val="center"/>
          </w:tcPr>
          <w:p>
            <w:pPr>
              <w:rPr>
                <w:rFonts w:hint="eastAsia" w:ascii="宋体"/>
                <w:sz w:val="24"/>
                <w:szCs w:val="24"/>
              </w:rPr>
            </w:pPr>
          </w:p>
        </w:tc>
        <w:tc>
          <w:tcPr>
            <w:tcW w:w="1523" w:type="dxa"/>
            <w:tcBorders>
              <w:top w:val="nil"/>
              <w:left w:val="nil"/>
              <w:bottom w:val="single" w:color="auto" w:sz="12" w:space="0"/>
              <w:right w:val="single" w:color="auto" w:sz="12"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标准</w:t>
            </w:r>
          </w:p>
        </w:tc>
        <w:tc>
          <w:tcPr>
            <w:tcW w:w="1219" w:type="dxa"/>
            <w:tcBorders>
              <w:top w:val="nil"/>
              <w:left w:val="nil"/>
              <w:bottom w:val="single" w:color="auto" w:sz="12" w:space="0"/>
              <w:right w:val="single" w:color="auto" w:sz="12"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权值</w:t>
            </w:r>
          </w:p>
        </w:tc>
        <w:tc>
          <w:tcPr>
            <w:tcW w:w="1067" w:type="dxa"/>
            <w:tcBorders>
              <w:top w:val="nil"/>
              <w:left w:val="nil"/>
              <w:bottom w:val="single" w:color="auto" w:sz="12" w:space="0"/>
              <w:right w:val="single" w:color="auto" w:sz="12"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标准</w:t>
            </w:r>
          </w:p>
        </w:tc>
        <w:tc>
          <w:tcPr>
            <w:tcW w:w="1697" w:type="dxa"/>
            <w:tcBorders>
              <w:top w:val="nil"/>
              <w:left w:val="nil"/>
              <w:bottom w:val="single" w:color="auto" w:sz="12" w:space="0"/>
              <w:right w:val="single" w:color="auto" w:sz="12"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标准</w:t>
            </w:r>
          </w:p>
        </w:tc>
      </w:tr>
      <w:tr>
        <w:tblPrEx>
          <w:tblLayout w:type="fixed"/>
          <w:tblCellMar>
            <w:top w:w="0" w:type="dxa"/>
            <w:left w:w="0" w:type="dxa"/>
            <w:bottom w:w="0" w:type="dxa"/>
            <w:right w:w="0" w:type="dxa"/>
          </w:tblCellMar>
        </w:tblPrEx>
        <w:tc>
          <w:tcPr>
            <w:tcW w:w="3012" w:type="dxa"/>
            <w:gridSpan w:val="2"/>
            <w:tcBorders>
              <w:top w:val="nil"/>
              <w:left w:val="single" w:color="auto" w:sz="12" w:space="0"/>
              <w:bottom w:val="single" w:color="auto" w:sz="12" w:space="0"/>
              <w:right w:val="single" w:color="auto" w:sz="12" w:space="0"/>
            </w:tcBorders>
            <w:shd w:val="cle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船型</w:t>
            </w:r>
          </w:p>
        </w:tc>
        <w:tc>
          <w:tcPr>
            <w:tcW w:w="1523"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化学品船</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油轮</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液化气船</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散货船</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客船</w:t>
            </w:r>
          </w:p>
        </w:tc>
        <w:tc>
          <w:tcPr>
            <w:tcW w:w="1219"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2</w:t>
            </w:r>
          </w:p>
        </w:tc>
        <w:tc>
          <w:tcPr>
            <w:tcW w:w="1067" w:type="dxa"/>
            <w:vMerge w:val="restart"/>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既不属于高风险船舶也不属于低风险船舶的船舶</w:t>
            </w:r>
          </w:p>
        </w:tc>
        <w:tc>
          <w:tcPr>
            <w:tcW w:w="1697"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w:t>
            </w:r>
          </w:p>
        </w:tc>
      </w:tr>
      <w:tr>
        <w:tblPrEx>
          <w:tblLayout w:type="fixed"/>
          <w:tblCellMar>
            <w:top w:w="0" w:type="dxa"/>
            <w:left w:w="0" w:type="dxa"/>
            <w:bottom w:w="0" w:type="dxa"/>
            <w:right w:w="0" w:type="dxa"/>
          </w:tblCellMar>
        </w:tblPrEx>
        <w:tc>
          <w:tcPr>
            <w:tcW w:w="3012" w:type="dxa"/>
            <w:gridSpan w:val="2"/>
            <w:tcBorders>
              <w:top w:val="nil"/>
              <w:left w:val="single" w:color="auto" w:sz="12" w:space="0"/>
              <w:bottom w:val="single" w:color="auto" w:sz="12" w:space="0"/>
              <w:right w:val="single" w:color="auto" w:sz="12" w:space="0"/>
            </w:tcBorders>
            <w:shd w:val="cle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船龄</w:t>
            </w:r>
          </w:p>
        </w:tc>
        <w:tc>
          <w:tcPr>
            <w:tcW w:w="1523"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所有船型 &gt; 12年</w:t>
            </w:r>
          </w:p>
        </w:tc>
        <w:tc>
          <w:tcPr>
            <w:tcW w:w="1219"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1067" w:type="dxa"/>
            <w:vMerge w:val="continue"/>
            <w:tcBorders>
              <w:top w:val="nil"/>
              <w:left w:val="nil"/>
              <w:bottom w:val="single" w:color="auto" w:sz="12" w:space="0"/>
              <w:right w:val="single" w:color="auto" w:sz="12" w:space="0"/>
            </w:tcBorders>
            <w:shd w:val="clear"/>
            <w:tcMar>
              <w:left w:w="108" w:type="dxa"/>
              <w:right w:w="108" w:type="dxa"/>
            </w:tcMar>
            <w:vAlign w:val="center"/>
          </w:tcPr>
          <w:p>
            <w:pPr>
              <w:rPr>
                <w:rFonts w:hint="eastAsia" w:ascii="宋体"/>
                <w:sz w:val="24"/>
                <w:szCs w:val="24"/>
              </w:rPr>
            </w:pPr>
          </w:p>
        </w:tc>
        <w:tc>
          <w:tcPr>
            <w:tcW w:w="1697"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w:t>
            </w:r>
          </w:p>
        </w:tc>
      </w:tr>
      <w:tr>
        <w:tblPrEx>
          <w:tblLayout w:type="fixed"/>
          <w:tblCellMar>
            <w:top w:w="0" w:type="dxa"/>
            <w:left w:w="0" w:type="dxa"/>
            <w:bottom w:w="0" w:type="dxa"/>
            <w:right w:w="0" w:type="dxa"/>
          </w:tblCellMar>
        </w:tblPrEx>
        <w:tc>
          <w:tcPr>
            <w:tcW w:w="1635" w:type="dxa"/>
            <w:vMerge w:val="restart"/>
            <w:tcBorders>
              <w:top w:val="nil"/>
              <w:left w:val="single" w:color="auto" w:sz="12" w:space="0"/>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船旗</w:t>
            </w:r>
          </w:p>
        </w:tc>
        <w:tc>
          <w:tcPr>
            <w:tcW w:w="1377" w:type="dxa"/>
            <w:tcBorders>
              <w:top w:val="nil"/>
              <w:left w:val="nil"/>
              <w:bottom w:val="single" w:color="auto" w:sz="12" w:space="0"/>
              <w:right w:val="single" w:color="auto" w:sz="12"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黑白灰名单</w:t>
            </w:r>
            <w:r>
              <w:rPr>
                <w:rFonts w:hint="eastAsia" w:ascii="宋体" w:hAnsi="宋体" w:eastAsia="宋体" w:cs="宋体"/>
                <w:kern w:val="0"/>
                <w:sz w:val="24"/>
                <w:szCs w:val="24"/>
                <w:bdr w:val="none" w:color="auto" w:sz="0" w:space="0"/>
                <w:vertAlign w:val="superscript"/>
                <w:lang w:val="en-US" w:eastAsia="zh-CN" w:bidi="ar"/>
              </w:rPr>
              <w:t>1)</w:t>
            </w:r>
          </w:p>
        </w:tc>
        <w:tc>
          <w:tcPr>
            <w:tcW w:w="1523"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黑名单</w:t>
            </w:r>
          </w:p>
        </w:tc>
        <w:tc>
          <w:tcPr>
            <w:tcW w:w="1219"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1067" w:type="dxa"/>
            <w:vMerge w:val="continue"/>
            <w:tcBorders>
              <w:top w:val="nil"/>
              <w:left w:val="nil"/>
              <w:bottom w:val="single" w:color="auto" w:sz="12" w:space="0"/>
              <w:right w:val="single" w:color="auto" w:sz="12" w:space="0"/>
            </w:tcBorders>
            <w:shd w:val="clear"/>
            <w:tcMar>
              <w:left w:w="108" w:type="dxa"/>
              <w:right w:w="108" w:type="dxa"/>
            </w:tcMar>
            <w:vAlign w:val="center"/>
          </w:tcPr>
          <w:p>
            <w:pPr>
              <w:rPr>
                <w:rFonts w:hint="eastAsia" w:ascii="宋体"/>
                <w:sz w:val="24"/>
                <w:szCs w:val="24"/>
              </w:rPr>
            </w:pPr>
          </w:p>
        </w:tc>
        <w:tc>
          <w:tcPr>
            <w:tcW w:w="1697"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白名单</w:t>
            </w:r>
          </w:p>
        </w:tc>
      </w:tr>
      <w:tr>
        <w:tblPrEx>
          <w:tblLayout w:type="fixed"/>
          <w:tblCellMar>
            <w:top w:w="0" w:type="dxa"/>
            <w:left w:w="0" w:type="dxa"/>
            <w:bottom w:w="0" w:type="dxa"/>
            <w:right w:w="0" w:type="dxa"/>
          </w:tblCellMar>
        </w:tblPrEx>
        <w:tc>
          <w:tcPr>
            <w:tcW w:w="1635" w:type="dxa"/>
            <w:vMerge w:val="continue"/>
            <w:tcBorders>
              <w:top w:val="nil"/>
              <w:left w:val="single" w:color="auto" w:sz="12" w:space="0"/>
              <w:bottom w:val="single" w:color="auto" w:sz="12" w:space="0"/>
              <w:right w:val="single" w:color="auto" w:sz="12" w:space="0"/>
            </w:tcBorders>
            <w:shd w:val="clear"/>
            <w:tcMar>
              <w:left w:w="108" w:type="dxa"/>
              <w:right w:w="108" w:type="dxa"/>
            </w:tcMar>
            <w:vAlign w:val="center"/>
          </w:tcPr>
          <w:p>
            <w:pPr>
              <w:rPr>
                <w:rFonts w:hint="eastAsia" w:ascii="宋体"/>
                <w:sz w:val="24"/>
                <w:szCs w:val="24"/>
              </w:rPr>
            </w:pPr>
          </w:p>
        </w:tc>
        <w:tc>
          <w:tcPr>
            <w:tcW w:w="1377" w:type="dxa"/>
            <w:tcBorders>
              <w:top w:val="nil"/>
              <w:left w:val="nil"/>
              <w:bottom w:val="single" w:color="auto" w:sz="12" w:space="0"/>
              <w:right w:val="single" w:color="auto" w:sz="12"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IMO自愿审核</w:t>
            </w:r>
            <w:r>
              <w:rPr>
                <w:rFonts w:hint="eastAsia" w:ascii="宋体" w:hAnsi="宋体" w:eastAsia="宋体" w:cs="宋体"/>
                <w:kern w:val="0"/>
                <w:sz w:val="24"/>
                <w:szCs w:val="24"/>
                <w:bdr w:val="none" w:color="auto" w:sz="0" w:space="0"/>
                <w:vertAlign w:val="superscript"/>
                <w:lang w:val="en-US" w:eastAsia="zh-CN" w:bidi="ar"/>
              </w:rPr>
              <w:t>2)</w:t>
            </w:r>
          </w:p>
        </w:tc>
        <w:tc>
          <w:tcPr>
            <w:tcW w:w="1523"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219"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067" w:type="dxa"/>
            <w:vMerge w:val="continue"/>
            <w:tcBorders>
              <w:top w:val="nil"/>
              <w:left w:val="nil"/>
              <w:bottom w:val="single" w:color="auto" w:sz="12" w:space="0"/>
              <w:right w:val="single" w:color="auto" w:sz="12" w:space="0"/>
            </w:tcBorders>
            <w:shd w:val="clear"/>
            <w:tcMar>
              <w:left w:w="108" w:type="dxa"/>
              <w:right w:w="108" w:type="dxa"/>
            </w:tcMar>
            <w:vAlign w:val="center"/>
          </w:tcPr>
          <w:p>
            <w:pPr>
              <w:rPr>
                <w:rFonts w:hint="eastAsia" w:ascii="宋体"/>
                <w:sz w:val="24"/>
                <w:szCs w:val="24"/>
              </w:rPr>
            </w:pPr>
          </w:p>
        </w:tc>
        <w:tc>
          <w:tcPr>
            <w:tcW w:w="1697"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是</w:t>
            </w:r>
          </w:p>
        </w:tc>
      </w:tr>
      <w:tr>
        <w:tblPrEx>
          <w:tblLayout w:type="fixed"/>
          <w:tblCellMar>
            <w:top w:w="0" w:type="dxa"/>
            <w:left w:w="0" w:type="dxa"/>
            <w:bottom w:w="0" w:type="dxa"/>
            <w:right w:w="0" w:type="dxa"/>
          </w:tblCellMar>
        </w:tblPrEx>
        <w:tc>
          <w:tcPr>
            <w:tcW w:w="1635" w:type="dxa"/>
            <w:vMerge w:val="restart"/>
            <w:tcBorders>
              <w:top w:val="nil"/>
              <w:left w:val="single" w:color="auto" w:sz="12" w:space="0"/>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认可组织</w:t>
            </w:r>
          </w:p>
        </w:tc>
        <w:tc>
          <w:tcPr>
            <w:tcW w:w="1377" w:type="dxa"/>
            <w:tcBorders>
              <w:top w:val="nil"/>
              <w:left w:val="nil"/>
              <w:bottom w:val="single" w:color="auto" w:sz="12" w:space="0"/>
              <w:right w:val="single" w:color="auto" w:sz="12"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东京备忘录认可</w:t>
            </w:r>
            <w:r>
              <w:rPr>
                <w:rFonts w:hint="eastAsia" w:ascii="宋体" w:hAnsi="宋体" w:eastAsia="宋体" w:cs="宋体"/>
                <w:kern w:val="0"/>
                <w:sz w:val="24"/>
                <w:szCs w:val="24"/>
                <w:bdr w:val="none" w:color="auto" w:sz="0" w:space="0"/>
                <w:vertAlign w:val="superscript"/>
                <w:lang w:val="en-US" w:eastAsia="zh-CN" w:bidi="ar"/>
              </w:rPr>
              <w:t>3)</w:t>
            </w:r>
          </w:p>
        </w:tc>
        <w:tc>
          <w:tcPr>
            <w:tcW w:w="1523"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219"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w:t>
            </w:r>
          </w:p>
        </w:tc>
        <w:tc>
          <w:tcPr>
            <w:tcW w:w="1067" w:type="dxa"/>
            <w:vMerge w:val="continue"/>
            <w:tcBorders>
              <w:top w:val="nil"/>
              <w:left w:val="nil"/>
              <w:bottom w:val="single" w:color="auto" w:sz="12" w:space="0"/>
              <w:right w:val="single" w:color="auto" w:sz="12" w:space="0"/>
            </w:tcBorders>
            <w:shd w:val="clear"/>
            <w:tcMar>
              <w:left w:w="108" w:type="dxa"/>
              <w:right w:w="108" w:type="dxa"/>
            </w:tcMar>
            <w:vAlign w:val="center"/>
          </w:tcPr>
          <w:p>
            <w:pPr>
              <w:rPr>
                <w:rFonts w:hint="eastAsia" w:ascii="宋体"/>
                <w:sz w:val="24"/>
                <w:szCs w:val="24"/>
              </w:rPr>
            </w:pPr>
          </w:p>
        </w:tc>
        <w:tc>
          <w:tcPr>
            <w:tcW w:w="1697"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是</w:t>
            </w:r>
          </w:p>
        </w:tc>
      </w:tr>
      <w:tr>
        <w:tblPrEx>
          <w:tblLayout w:type="fixed"/>
          <w:tblCellMar>
            <w:top w:w="0" w:type="dxa"/>
            <w:left w:w="0" w:type="dxa"/>
            <w:bottom w:w="0" w:type="dxa"/>
            <w:right w:w="0" w:type="dxa"/>
          </w:tblCellMar>
        </w:tblPrEx>
        <w:trPr>
          <w:cantSplit/>
        </w:trPr>
        <w:tc>
          <w:tcPr>
            <w:tcW w:w="1635" w:type="dxa"/>
            <w:vMerge w:val="continue"/>
            <w:tcBorders>
              <w:top w:val="nil"/>
              <w:left w:val="single" w:color="auto" w:sz="12" w:space="0"/>
              <w:bottom w:val="single" w:color="auto" w:sz="12" w:space="0"/>
              <w:right w:val="single" w:color="auto" w:sz="12" w:space="0"/>
            </w:tcBorders>
            <w:shd w:val="clear"/>
            <w:tcMar>
              <w:left w:w="108" w:type="dxa"/>
              <w:right w:w="108" w:type="dxa"/>
            </w:tcMar>
            <w:vAlign w:val="center"/>
          </w:tcPr>
          <w:p>
            <w:pPr>
              <w:rPr>
                <w:rFonts w:hint="eastAsia" w:ascii="宋体"/>
                <w:sz w:val="24"/>
                <w:szCs w:val="24"/>
              </w:rPr>
            </w:pPr>
          </w:p>
        </w:tc>
        <w:tc>
          <w:tcPr>
            <w:tcW w:w="1377" w:type="dxa"/>
            <w:tcBorders>
              <w:top w:val="nil"/>
              <w:left w:val="nil"/>
              <w:bottom w:val="single" w:color="auto" w:sz="12" w:space="0"/>
              <w:right w:val="single" w:color="auto" w:sz="12"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绩效</w:t>
            </w:r>
            <w:r>
              <w:rPr>
                <w:rFonts w:hint="eastAsia" w:ascii="宋体" w:hAnsi="宋体" w:eastAsia="宋体" w:cs="宋体"/>
                <w:kern w:val="0"/>
                <w:sz w:val="24"/>
                <w:szCs w:val="24"/>
                <w:bdr w:val="none" w:color="auto" w:sz="0" w:space="0"/>
                <w:vertAlign w:val="superscript"/>
                <w:lang w:val="en-US" w:eastAsia="zh-CN" w:bidi="ar"/>
              </w:rPr>
              <w:t>4)</w:t>
            </w:r>
          </w:p>
        </w:tc>
        <w:tc>
          <w:tcPr>
            <w:tcW w:w="1523"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低</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极低</w:t>
            </w:r>
          </w:p>
        </w:tc>
        <w:tc>
          <w:tcPr>
            <w:tcW w:w="1219"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1067" w:type="dxa"/>
            <w:vMerge w:val="continue"/>
            <w:tcBorders>
              <w:top w:val="nil"/>
              <w:left w:val="nil"/>
              <w:bottom w:val="single" w:color="auto" w:sz="12" w:space="0"/>
              <w:right w:val="single" w:color="auto" w:sz="12" w:space="0"/>
            </w:tcBorders>
            <w:shd w:val="clear"/>
            <w:tcMar>
              <w:left w:w="108" w:type="dxa"/>
              <w:right w:w="108" w:type="dxa"/>
            </w:tcMar>
            <w:vAlign w:val="center"/>
          </w:tcPr>
          <w:p>
            <w:pPr>
              <w:rPr>
                <w:rFonts w:hint="eastAsia" w:ascii="宋体"/>
                <w:sz w:val="24"/>
                <w:szCs w:val="24"/>
              </w:rPr>
            </w:pPr>
          </w:p>
        </w:tc>
        <w:tc>
          <w:tcPr>
            <w:tcW w:w="1697"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高</w:t>
            </w:r>
          </w:p>
        </w:tc>
      </w:tr>
      <w:tr>
        <w:tblPrEx>
          <w:tblLayout w:type="fixed"/>
          <w:tblCellMar>
            <w:top w:w="0" w:type="dxa"/>
            <w:left w:w="0" w:type="dxa"/>
            <w:bottom w:w="0" w:type="dxa"/>
            <w:right w:w="0" w:type="dxa"/>
          </w:tblCellMar>
        </w:tblPrEx>
        <w:tc>
          <w:tcPr>
            <w:tcW w:w="3012" w:type="dxa"/>
            <w:gridSpan w:val="2"/>
            <w:tcBorders>
              <w:top w:val="nil"/>
              <w:left w:val="single" w:color="auto" w:sz="12" w:space="0"/>
              <w:bottom w:val="single" w:color="auto" w:sz="12" w:space="0"/>
              <w:right w:val="single" w:color="auto" w:sz="12" w:space="0"/>
            </w:tcBorders>
            <w:shd w:val="cle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公司绩效</w:t>
            </w:r>
            <w:r>
              <w:rPr>
                <w:rFonts w:hint="eastAsia" w:ascii="宋体" w:hAnsi="宋体" w:eastAsia="宋体" w:cs="宋体"/>
                <w:kern w:val="0"/>
                <w:sz w:val="24"/>
                <w:szCs w:val="24"/>
                <w:bdr w:val="none" w:color="auto" w:sz="0" w:space="0"/>
                <w:vertAlign w:val="superscript"/>
                <w:lang w:val="en-US" w:eastAsia="zh-CN" w:bidi="ar"/>
              </w:rPr>
              <w:t xml:space="preserve"> 5)</w:t>
            </w:r>
          </w:p>
        </w:tc>
        <w:tc>
          <w:tcPr>
            <w:tcW w:w="1523"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低</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极低</w:t>
            </w:r>
          </w:p>
        </w:tc>
        <w:tc>
          <w:tcPr>
            <w:tcW w:w="1219"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2</w:t>
            </w:r>
          </w:p>
        </w:tc>
        <w:tc>
          <w:tcPr>
            <w:tcW w:w="1067" w:type="dxa"/>
            <w:vMerge w:val="continue"/>
            <w:tcBorders>
              <w:top w:val="nil"/>
              <w:left w:val="nil"/>
              <w:bottom w:val="single" w:color="auto" w:sz="12" w:space="0"/>
              <w:right w:val="single" w:color="auto" w:sz="12" w:space="0"/>
            </w:tcBorders>
            <w:shd w:val="clear"/>
            <w:tcMar>
              <w:left w:w="108" w:type="dxa"/>
              <w:right w:w="108" w:type="dxa"/>
            </w:tcMar>
            <w:vAlign w:val="center"/>
          </w:tcPr>
          <w:p>
            <w:pPr>
              <w:rPr>
                <w:rFonts w:hint="eastAsia" w:ascii="宋体"/>
                <w:sz w:val="24"/>
                <w:szCs w:val="24"/>
              </w:rPr>
            </w:pPr>
          </w:p>
        </w:tc>
        <w:tc>
          <w:tcPr>
            <w:tcW w:w="1697"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高</w:t>
            </w:r>
          </w:p>
        </w:tc>
      </w:tr>
      <w:tr>
        <w:tblPrEx>
          <w:tblLayout w:type="fixed"/>
          <w:tblCellMar>
            <w:top w:w="0" w:type="dxa"/>
            <w:left w:w="0" w:type="dxa"/>
            <w:bottom w:w="0" w:type="dxa"/>
            <w:right w:w="0" w:type="dxa"/>
          </w:tblCellMar>
        </w:tblPrEx>
        <w:tc>
          <w:tcPr>
            <w:tcW w:w="1635" w:type="dxa"/>
            <w:tcBorders>
              <w:top w:val="nil"/>
              <w:left w:val="single" w:color="auto" w:sz="12" w:space="0"/>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缺陷</w:t>
            </w:r>
          </w:p>
        </w:tc>
        <w:tc>
          <w:tcPr>
            <w:tcW w:w="1377" w:type="dxa"/>
            <w:tcBorders>
              <w:top w:val="nil"/>
              <w:left w:val="nil"/>
              <w:bottom w:val="single" w:color="auto" w:sz="12" w:space="0"/>
              <w:right w:val="single" w:color="auto" w:sz="12"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过去36个月内历次检查记录的缺陷数目</w:t>
            </w:r>
          </w:p>
        </w:tc>
        <w:tc>
          <w:tcPr>
            <w:tcW w:w="1523"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记录缺陷数超过5个的检查次数?</w:t>
            </w:r>
          </w:p>
        </w:tc>
        <w:tc>
          <w:tcPr>
            <w:tcW w:w="1219"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 xml:space="preserve">记录缺陷数超过5个的检查次数即为本项分值 </w:t>
            </w:r>
          </w:p>
        </w:tc>
        <w:tc>
          <w:tcPr>
            <w:tcW w:w="1067" w:type="dxa"/>
            <w:vMerge w:val="continue"/>
            <w:tcBorders>
              <w:top w:val="nil"/>
              <w:left w:val="nil"/>
              <w:bottom w:val="single" w:color="auto" w:sz="12" w:space="0"/>
              <w:right w:val="single" w:color="auto" w:sz="12" w:space="0"/>
            </w:tcBorders>
            <w:shd w:val="clear"/>
            <w:tcMar>
              <w:left w:w="108" w:type="dxa"/>
              <w:right w:w="108" w:type="dxa"/>
            </w:tcMar>
            <w:vAlign w:val="center"/>
          </w:tcPr>
          <w:p>
            <w:pPr>
              <w:rPr>
                <w:rFonts w:hint="eastAsia" w:ascii="宋体"/>
                <w:sz w:val="24"/>
                <w:szCs w:val="24"/>
              </w:rPr>
            </w:pPr>
          </w:p>
        </w:tc>
        <w:tc>
          <w:tcPr>
            <w:tcW w:w="1697"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缺陷数等于或小于5个的所有检查 (36个月内至少接受过一次检查)</w:t>
            </w:r>
          </w:p>
        </w:tc>
      </w:tr>
      <w:tr>
        <w:tblPrEx>
          <w:tblLayout w:type="fixed"/>
          <w:tblCellMar>
            <w:top w:w="0" w:type="dxa"/>
            <w:left w:w="0" w:type="dxa"/>
            <w:bottom w:w="0" w:type="dxa"/>
            <w:right w:w="0" w:type="dxa"/>
          </w:tblCellMar>
        </w:tblPrEx>
        <w:tc>
          <w:tcPr>
            <w:tcW w:w="1635" w:type="dxa"/>
            <w:tcBorders>
              <w:top w:val="nil"/>
              <w:left w:val="single" w:color="auto" w:sz="12" w:space="0"/>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滞留</w:t>
            </w:r>
          </w:p>
        </w:tc>
        <w:tc>
          <w:tcPr>
            <w:tcW w:w="1377" w:type="dxa"/>
            <w:tcBorders>
              <w:top w:val="nil"/>
              <w:left w:val="nil"/>
              <w:bottom w:val="single" w:color="auto" w:sz="12" w:space="0"/>
              <w:right w:val="single" w:color="auto" w:sz="12"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过去36个月内的滞留次数</w:t>
            </w:r>
          </w:p>
        </w:tc>
        <w:tc>
          <w:tcPr>
            <w:tcW w:w="1523"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大于或等于3此滞留</w:t>
            </w:r>
          </w:p>
        </w:tc>
        <w:tc>
          <w:tcPr>
            <w:tcW w:w="1219"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1067" w:type="dxa"/>
            <w:vMerge w:val="continue"/>
            <w:tcBorders>
              <w:top w:val="nil"/>
              <w:left w:val="nil"/>
              <w:bottom w:val="single" w:color="auto" w:sz="12" w:space="0"/>
              <w:right w:val="single" w:color="auto" w:sz="12" w:space="0"/>
            </w:tcBorders>
            <w:shd w:val="clear"/>
            <w:tcMar>
              <w:left w:w="108" w:type="dxa"/>
              <w:right w:w="108" w:type="dxa"/>
            </w:tcMar>
            <w:vAlign w:val="center"/>
          </w:tcPr>
          <w:p>
            <w:pPr>
              <w:rPr>
                <w:rFonts w:hint="eastAsia" w:ascii="宋体"/>
                <w:sz w:val="24"/>
                <w:szCs w:val="24"/>
              </w:rPr>
            </w:pPr>
          </w:p>
        </w:tc>
        <w:tc>
          <w:tcPr>
            <w:tcW w:w="1697"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无滞留</w:t>
            </w:r>
          </w:p>
        </w:tc>
      </w:tr>
    </w:tbl>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  The Black, Grey and White list for flag State performance is established annually taking account of the inspection and detention history over the preceding three calendar years and is adopted by the Tokyo MOU Committee to publish in the Annual Report.</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     船旗国绩效中的黑灰白名单是每年综合考虑其过去3个日历年度内检查和滞留的历史情况而得出的并将在东京备忘录委员会发布的年度报告中予以公示。</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  The status on completion of VIMSAS will be based on updated information obtained by the Tokyo MOU Secretariat.</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     IMO自愿审核的完成情况将依据东京备忘录秘书处获得的最新信息。</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  Recognized Organizations of Tokyo MOU are those recognized by at least one member Authority of the Tokyo MOU, a list of which is provided on the web-site.</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     东京备忘录的认可组织至少获得过一个成员当局的认可，具体名单参照网站公布。</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4)  The performance of all Recognized Organizations is established annually taking account of the inspection and detention history over the preceding three calendar years and is adopted by the Tokyo MOU Committee to publish in the Annual Report.</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4)      所有认可组织的绩效是每年综合考虑其过去3个日历年度内检查和滞留的历史情况而得出的并将在东京备忘录委员会发布的年度报告中予以公示。</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5)  Company performance takes account of the detention and deficiency history of all ships in a company’s fleet while that company was the ISM company for the ship. Companies are ranked with a “very low, low, medium or high” performance. The calculation is made daily on the basis of a running 36-month period. There is no lower limit for the number of inspections needed to qualify except a company with no inspections in the last 36 months will be given a “medium performance”.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5)     公司（承担安全和防污染责任的船舶管理公司—ISM公司）绩效是依据其旗下船队中所有船舶的滞留情况和缺陷的历史记录计算而得，依次分为四级：极低、低、中和高。计算结果以36个月为周期每日滚动更新。检查次数不设下限，若公司所有船舶在36个月内均未接受检查，则为“中等绩效”。</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kern w:val="0"/>
          <w:sz w:val="24"/>
          <w:szCs w:val="24"/>
          <w:lang w:val="en-US" w:eastAsia="zh-CN" w:bidi="ar"/>
        </w:rPr>
        <w:t>2    Selection Scheme</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kern w:val="0"/>
          <w:sz w:val="24"/>
          <w:szCs w:val="24"/>
          <w:lang w:val="en-US" w:eastAsia="zh-CN" w:bidi="ar"/>
        </w:rPr>
        <w:t>2    选船机制</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2.1  Based on Ship Risk Profile, the selection scheme determines the scope, frequency and priority of inspections.</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2.1   基于船舶风险属性，选船机制确定检查范围、频率和优先顺序。</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2.2  Periodic inspections are carried out at intervals determined by the Ship Risk Profile.</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2.2   船舶风险属性决定了实施定期检查的时间间隔。</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2.3  Overriding priority might trigger inspections between periodic inspections.</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2.3   对于绝对优先级或表现欠佳船舶可在定期检查间隔时间段内实施额外检查。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2.4  Ships become due for periodic inspection in the following time windows:</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2.4   依据下列时间窗口决定是否对船舶实施定期检查：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Table 2 - Time Windows</w:t>
      </w:r>
    </w:p>
    <w:tbl>
      <w:tblPr>
        <w:tblW w:w="8521" w:type="dxa"/>
        <w:tblInd w:w="0" w:type="dxa"/>
        <w:shd w:val="clear"/>
        <w:tblLayout w:type="fixed"/>
        <w:tblCellMar>
          <w:top w:w="0" w:type="dxa"/>
          <w:left w:w="0" w:type="dxa"/>
          <w:bottom w:w="0" w:type="dxa"/>
          <w:right w:w="0" w:type="dxa"/>
        </w:tblCellMar>
      </w:tblPr>
      <w:tblGrid>
        <w:gridCol w:w="4257"/>
        <w:gridCol w:w="4264"/>
      </w:tblGrid>
      <w:tr>
        <w:tblPrEx>
          <w:shd w:val="clear"/>
          <w:tblLayout w:type="fixed"/>
          <w:tblCellMar>
            <w:top w:w="0" w:type="dxa"/>
            <w:left w:w="0" w:type="dxa"/>
            <w:bottom w:w="0" w:type="dxa"/>
            <w:right w:w="0" w:type="dxa"/>
          </w:tblCellMar>
        </w:tblPrEx>
        <w:tc>
          <w:tcPr>
            <w:tcW w:w="425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bdr w:val="none" w:color="auto" w:sz="0" w:space="0"/>
                <w:lang w:val="en-US" w:eastAsia="zh-CN" w:bidi="ar"/>
              </w:rPr>
              <w:t>Ship Risk Profile</w:t>
            </w:r>
          </w:p>
        </w:tc>
        <w:tc>
          <w:tcPr>
            <w:tcW w:w="4264"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bdr w:val="none" w:color="auto" w:sz="0" w:space="0"/>
                <w:lang w:val="en-US" w:eastAsia="zh-CN" w:bidi="ar"/>
              </w:rPr>
              <w:t>Time Window since previous inspection</w:t>
            </w:r>
          </w:p>
        </w:tc>
      </w:tr>
      <w:tr>
        <w:tblPrEx>
          <w:tblLayout w:type="fixed"/>
          <w:tblCellMar>
            <w:top w:w="0" w:type="dxa"/>
            <w:left w:w="0" w:type="dxa"/>
            <w:bottom w:w="0" w:type="dxa"/>
            <w:right w:w="0" w:type="dxa"/>
          </w:tblCellMar>
        </w:tblPrEx>
        <w:tc>
          <w:tcPr>
            <w:tcW w:w="4257"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Low Risk Ships</w:t>
            </w:r>
          </w:p>
        </w:tc>
        <w:tc>
          <w:tcPr>
            <w:tcW w:w="426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9 to 18 months</w:t>
            </w:r>
          </w:p>
        </w:tc>
      </w:tr>
      <w:tr>
        <w:tblPrEx>
          <w:tblLayout w:type="fixed"/>
          <w:tblCellMar>
            <w:top w:w="0" w:type="dxa"/>
            <w:left w:w="0" w:type="dxa"/>
            <w:bottom w:w="0" w:type="dxa"/>
            <w:right w:w="0" w:type="dxa"/>
          </w:tblCellMar>
        </w:tblPrEx>
        <w:tc>
          <w:tcPr>
            <w:tcW w:w="4257"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Standard Risk Ships</w:t>
            </w:r>
          </w:p>
        </w:tc>
        <w:tc>
          <w:tcPr>
            <w:tcW w:w="426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5 to 8 months</w:t>
            </w:r>
          </w:p>
        </w:tc>
      </w:tr>
      <w:tr>
        <w:tblPrEx>
          <w:tblLayout w:type="fixed"/>
          <w:tblCellMar>
            <w:top w:w="0" w:type="dxa"/>
            <w:left w:w="0" w:type="dxa"/>
            <w:bottom w:w="0" w:type="dxa"/>
            <w:right w:w="0" w:type="dxa"/>
          </w:tblCellMar>
        </w:tblPrEx>
        <w:tc>
          <w:tcPr>
            <w:tcW w:w="4257"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High Risk Ships</w:t>
            </w:r>
          </w:p>
        </w:tc>
        <w:tc>
          <w:tcPr>
            <w:tcW w:w="426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2 to 4 months</w:t>
            </w:r>
          </w:p>
        </w:tc>
      </w:tr>
    </w:tbl>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表2 时间窗口</w:t>
      </w:r>
    </w:p>
    <w:tbl>
      <w:tblPr>
        <w:tblW w:w="8521" w:type="dxa"/>
        <w:tblInd w:w="0" w:type="dxa"/>
        <w:shd w:val="clear"/>
        <w:tblLayout w:type="fixed"/>
        <w:tblCellMar>
          <w:top w:w="0" w:type="dxa"/>
          <w:left w:w="0" w:type="dxa"/>
          <w:bottom w:w="0" w:type="dxa"/>
          <w:right w:w="0" w:type="dxa"/>
        </w:tblCellMar>
      </w:tblPr>
      <w:tblGrid>
        <w:gridCol w:w="4258"/>
        <w:gridCol w:w="4263"/>
      </w:tblGrid>
      <w:tr>
        <w:tblPrEx>
          <w:shd w:val="clear"/>
          <w:tblLayout w:type="fixed"/>
          <w:tblCellMar>
            <w:top w:w="0" w:type="dxa"/>
            <w:left w:w="0" w:type="dxa"/>
            <w:bottom w:w="0" w:type="dxa"/>
            <w:right w:w="0" w:type="dxa"/>
          </w:tblCellMar>
        </w:tblPrEx>
        <w:tc>
          <w:tcPr>
            <w:tcW w:w="425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bdr w:val="none" w:color="auto" w:sz="0" w:space="0"/>
                <w:lang w:val="en-US" w:eastAsia="zh-CN" w:bidi="ar"/>
              </w:rPr>
              <w:t>船舶风险属性</w:t>
            </w:r>
          </w:p>
        </w:tc>
        <w:tc>
          <w:tcPr>
            <w:tcW w:w="4263"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bdr w:val="none" w:color="auto" w:sz="0" w:space="0"/>
                <w:lang w:val="en-US" w:eastAsia="zh-CN" w:bidi="ar"/>
              </w:rPr>
              <w:t>时间窗口（自上次检查日期起计）</w:t>
            </w:r>
          </w:p>
        </w:tc>
      </w:tr>
      <w:tr>
        <w:tblPrEx>
          <w:tblLayout w:type="fixed"/>
          <w:tblCellMar>
            <w:top w:w="0" w:type="dxa"/>
            <w:left w:w="0" w:type="dxa"/>
            <w:bottom w:w="0" w:type="dxa"/>
            <w:right w:w="0" w:type="dxa"/>
          </w:tblCellMar>
        </w:tblPrEx>
        <w:tc>
          <w:tcPr>
            <w:tcW w:w="425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低风险船</w:t>
            </w:r>
          </w:p>
        </w:tc>
        <w:tc>
          <w:tcPr>
            <w:tcW w:w="426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9-18月</w:t>
            </w:r>
          </w:p>
        </w:tc>
      </w:tr>
      <w:tr>
        <w:tblPrEx>
          <w:tblLayout w:type="fixed"/>
          <w:tblCellMar>
            <w:top w:w="0" w:type="dxa"/>
            <w:left w:w="0" w:type="dxa"/>
            <w:bottom w:w="0" w:type="dxa"/>
            <w:right w:w="0" w:type="dxa"/>
          </w:tblCellMar>
        </w:tblPrEx>
        <w:tc>
          <w:tcPr>
            <w:tcW w:w="425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标准风险船</w:t>
            </w:r>
          </w:p>
        </w:tc>
        <w:tc>
          <w:tcPr>
            <w:tcW w:w="426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5-8月</w:t>
            </w:r>
          </w:p>
        </w:tc>
      </w:tr>
      <w:tr>
        <w:tblPrEx>
          <w:tblLayout w:type="fixed"/>
          <w:tblCellMar>
            <w:top w:w="0" w:type="dxa"/>
            <w:left w:w="0" w:type="dxa"/>
            <w:bottom w:w="0" w:type="dxa"/>
            <w:right w:w="0" w:type="dxa"/>
          </w:tblCellMar>
        </w:tblPrEx>
        <w:tc>
          <w:tcPr>
            <w:tcW w:w="425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高风险船</w:t>
            </w:r>
          </w:p>
        </w:tc>
        <w:tc>
          <w:tcPr>
            <w:tcW w:w="426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2-4月</w:t>
            </w:r>
          </w:p>
        </w:tc>
      </w:tr>
    </w:tbl>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2.5  The selection scheme is divided into two priorities:</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2.5   选船机制分为两个优先级:</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Priority I: ships must be inspected because the time window has closed.</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优先级1：规定的时间窗口期已过，船舶为应检船。</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Priority II: ships may be inspected because they are within the time window of inspection.</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优先级2：在规定的时间窗口期内，船舶为可检船。</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2.6  The priority and the level of selection will be shown for each ship in the information system of APCIS.</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2.6   每条船的优先顺序与选船级别将在APCIS信息系统中显示。</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kern w:val="0"/>
          <w:sz w:val="24"/>
          <w:szCs w:val="24"/>
          <w:lang w:val="en-US" w:eastAsia="zh-CN" w:bidi="ar"/>
        </w:rPr>
        <w:t>3    Company Performance</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kern w:val="0"/>
          <w:sz w:val="24"/>
          <w:szCs w:val="24"/>
          <w:lang w:val="en-US" w:eastAsia="zh-CN" w:bidi="ar"/>
        </w:rPr>
        <w:t>3    公司绩效</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3.1        Company performance takes account of the detention and deficiency history of all ships in a company’s fleet while that company was the ISM company for the ship. Companies are ranked as having a “very low, low, medium or high” performance. The calculation is made daily on the basis of a running 36-month period. There is no lower limit for the number of inspections needed to qualify except a company with no inspections in the last 36 months will be given a “medium performance”.</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3.1    公司（承担安全和防污染责任的船舶管理公司——ISM公司）绩效是依据其旗下船队中所有船舶的滞留情况和缺陷的历史记录计算而得，依次分为四级：极低、低、中和高。计算结果以36个月为周期每日滚动更新。检查次数不设下限，若公司所有船舶在36个月内均未接受检查，则为中等绩效。</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3.2        The formula consists of two elements, the deficiency index and the detention index.</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3.2    计算公式由两个要素组成：缺陷指数和滞留指数。</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u w:val="single"/>
          <w:lang w:val="en-US" w:eastAsia="zh-CN" w:bidi="ar"/>
        </w:rPr>
        <w:t>Deficiency Index</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u w:val="single"/>
          <w:lang w:val="en-US" w:eastAsia="zh-CN" w:bidi="ar"/>
        </w:rPr>
        <w:t>缺陷指数</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3.3        When counting deficiencies each ISM related deficiency is weighted at five points. Other deficiencies are valued at one point.</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3.3    每个ISM相关缺陷计为5个分值。其他类型的缺陷，每个计为1个分值。</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3.4        The Deficiency Index is the ratio of the total points of all deficiencies of all ships in a company’s fleet to the number of inspections of all ships in the company’s fleet within the last 36 months.</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3.4</w:t>
      </w:r>
      <w:r>
        <w:rPr>
          <w:rFonts w:hint="eastAsia" w:ascii="宋体" w:hAnsi="宋体" w:eastAsia="宋体" w:cs="宋体"/>
          <w:b/>
          <w:kern w:val="0"/>
          <w:sz w:val="24"/>
          <w:szCs w:val="24"/>
          <w:lang w:val="en-US" w:eastAsia="zh-CN" w:bidi="ar"/>
        </w:rPr>
        <w:t xml:space="preserve">    </w:t>
      </w:r>
      <w:r>
        <w:rPr>
          <w:rFonts w:hint="eastAsia" w:ascii="宋体" w:hAnsi="宋体" w:eastAsia="宋体" w:cs="宋体"/>
          <w:kern w:val="0"/>
          <w:sz w:val="24"/>
          <w:szCs w:val="24"/>
          <w:lang w:val="en-US" w:eastAsia="zh-CN" w:bidi="ar"/>
        </w:rPr>
        <w:t>缺陷指数是该船舶管理公司所管理的船队中所有船舶在前36个月内所有被检查船舶的缺陷分值与该计算时段内该船舶管理公司所管理的船队中所有船舶接受检查总次数的比值。</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3.5        This ratio is compared with the average for all ships inspected in the Tokyo MOU over the last three calendar years to determine whether the index is average, above average or below average as follows:</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3.5    上述比值与东京备忘录前3个日历年度内所有被检船舶的平均缺陷分值进行比较，以确定缺陷指数是否达到、高于或低于平均值，如下表：</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Table 3 - Deficiency Index</w:t>
      </w:r>
    </w:p>
    <w:tbl>
      <w:tblPr>
        <w:tblW w:w="8522" w:type="dxa"/>
        <w:tblInd w:w="0" w:type="dxa"/>
        <w:shd w:val="clear"/>
        <w:tblLayout w:type="fixed"/>
        <w:tblCellMar>
          <w:top w:w="0" w:type="dxa"/>
          <w:left w:w="0" w:type="dxa"/>
          <w:bottom w:w="0" w:type="dxa"/>
          <w:right w:w="0" w:type="dxa"/>
        </w:tblCellMar>
      </w:tblPr>
      <w:tblGrid>
        <w:gridCol w:w="4261"/>
        <w:gridCol w:w="4261"/>
      </w:tblGrid>
      <w:tr>
        <w:tblPrEx>
          <w:shd w:val="clear"/>
          <w:tblLayout w:type="fixed"/>
          <w:tblCellMar>
            <w:top w:w="0" w:type="dxa"/>
            <w:left w:w="0" w:type="dxa"/>
            <w:bottom w:w="0" w:type="dxa"/>
            <w:right w:w="0" w:type="dxa"/>
          </w:tblCellMar>
        </w:tblPrEx>
        <w:tc>
          <w:tcPr>
            <w:tcW w:w="42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kern w:val="0"/>
                <w:sz w:val="24"/>
                <w:szCs w:val="24"/>
                <w:bdr w:val="none" w:color="auto" w:sz="0" w:space="0"/>
                <w:lang w:val="en-US" w:eastAsia="zh-CN" w:bidi="ar"/>
              </w:rPr>
              <w:t>Deficiency Index</w:t>
            </w:r>
          </w:p>
        </w:tc>
        <w:tc>
          <w:tcPr>
            <w:tcW w:w="4261"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kern w:val="0"/>
                <w:sz w:val="24"/>
                <w:szCs w:val="24"/>
                <w:bdr w:val="none" w:color="auto" w:sz="0" w:space="0"/>
                <w:lang w:val="en-US" w:eastAsia="zh-CN" w:bidi="ar"/>
              </w:rPr>
              <w:t>Deficiency points per inspection</w:t>
            </w:r>
          </w:p>
        </w:tc>
      </w:tr>
      <w:tr>
        <w:tblPrEx>
          <w:tblLayout w:type="fixed"/>
          <w:tblCellMar>
            <w:top w:w="0" w:type="dxa"/>
            <w:left w:w="0" w:type="dxa"/>
            <w:bottom w:w="0" w:type="dxa"/>
            <w:right w:w="0" w:type="dxa"/>
          </w:tblCellMar>
        </w:tblPrEx>
        <w:tc>
          <w:tcPr>
            <w:tcW w:w="4261"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Above average</w:t>
            </w:r>
          </w:p>
        </w:tc>
        <w:tc>
          <w:tcPr>
            <w:tcW w:w="426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&gt; 1 above Tokyo MOU average</w:t>
            </w:r>
          </w:p>
        </w:tc>
      </w:tr>
      <w:tr>
        <w:tblPrEx>
          <w:tblLayout w:type="fixed"/>
          <w:tblCellMar>
            <w:top w:w="0" w:type="dxa"/>
            <w:left w:w="0" w:type="dxa"/>
            <w:bottom w:w="0" w:type="dxa"/>
            <w:right w:w="0" w:type="dxa"/>
          </w:tblCellMar>
        </w:tblPrEx>
        <w:tc>
          <w:tcPr>
            <w:tcW w:w="4261"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Average</w:t>
            </w:r>
          </w:p>
        </w:tc>
        <w:tc>
          <w:tcPr>
            <w:tcW w:w="426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Tokyo MOU average +/- 1</w:t>
            </w:r>
          </w:p>
        </w:tc>
      </w:tr>
      <w:tr>
        <w:tblPrEx>
          <w:tblLayout w:type="fixed"/>
          <w:tblCellMar>
            <w:top w:w="0" w:type="dxa"/>
            <w:left w:w="0" w:type="dxa"/>
            <w:bottom w:w="0" w:type="dxa"/>
            <w:right w:w="0" w:type="dxa"/>
          </w:tblCellMar>
        </w:tblPrEx>
        <w:tc>
          <w:tcPr>
            <w:tcW w:w="4261"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Below average</w:t>
            </w:r>
          </w:p>
        </w:tc>
        <w:tc>
          <w:tcPr>
            <w:tcW w:w="426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&gt; 1 below Tokyo MOU average</w:t>
            </w:r>
          </w:p>
        </w:tc>
      </w:tr>
    </w:tbl>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表3 缺陷指数</w:t>
      </w:r>
    </w:p>
    <w:tbl>
      <w:tblPr>
        <w:tblW w:w="8522" w:type="dxa"/>
        <w:tblInd w:w="0" w:type="dxa"/>
        <w:shd w:val="clear"/>
        <w:tblLayout w:type="fixed"/>
        <w:tblCellMar>
          <w:top w:w="0" w:type="dxa"/>
          <w:left w:w="0" w:type="dxa"/>
          <w:bottom w:w="0" w:type="dxa"/>
          <w:right w:w="0" w:type="dxa"/>
        </w:tblCellMar>
      </w:tblPr>
      <w:tblGrid>
        <w:gridCol w:w="4261"/>
        <w:gridCol w:w="4261"/>
      </w:tblGrid>
      <w:tr>
        <w:tblPrEx>
          <w:shd w:val="clear"/>
          <w:tblLayout w:type="fixed"/>
          <w:tblCellMar>
            <w:top w:w="0" w:type="dxa"/>
            <w:left w:w="0" w:type="dxa"/>
            <w:bottom w:w="0" w:type="dxa"/>
            <w:right w:w="0" w:type="dxa"/>
          </w:tblCellMar>
        </w:tblPrEx>
        <w:tc>
          <w:tcPr>
            <w:tcW w:w="42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kern w:val="0"/>
                <w:sz w:val="24"/>
                <w:szCs w:val="24"/>
                <w:bdr w:val="none" w:color="auto" w:sz="0" w:space="0"/>
                <w:lang w:val="en-US" w:eastAsia="zh-CN" w:bidi="ar"/>
              </w:rPr>
              <w:t>缺陷指数</w:t>
            </w:r>
          </w:p>
        </w:tc>
        <w:tc>
          <w:tcPr>
            <w:tcW w:w="4261"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kern w:val="0"/>
                <w:sz w:val="24"/>
                <w:szCs w:val="24"/>
                <w:bdr w:val="none" w:color="auto" w:sz="0" w:space="0"/>
                <w:lang w:val="en-US" w:eastAsia="zh-CN" w:bidi="ar"/>
              </w:rPr>
              <w:t>每次检查的缺陷分值</w:t>
            </w:r>
          </w:p>
        </w:tc>
      </w:tr>
      <w:tr>
        <w:tblPrEx>
          <w:tblLayout w:type="fixed"/>
          <w:tblCellMar>
            <w:top w:w="0" w:type="dxa"/>
            <w:left w:w="0" w:type="dxa"/>
            <w:bottom w:w="0" w:type="dxa"/>
            <w:right w:w="0" w:type="dxa"/>
          </w:tblCellMar>
        </w:tblPrEx>
        <w:tc>
          <w:tcPr>
            <w:tcW w:w="4261"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高于平均</w:t>
            </w:r>
          </w:p>
        </w:tc>
        <w:tc>
          <w:tcPr>
            <w:tcW w:w="426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缺陷指数高于东京备忘录均值至少1个分值</w:t>
            </w:r>
          </w:p>
        </w:tc>
      </w:tr>
      <w:tr>
        <w:tblPrEx>
          <w:tblLayout w:type="fixed"/>
          <w:tblCellMar>
            <w:top w:w="0" w:type="dxa"/>
            <w:left w:w="0" w:type="dxa"/>
            <w:bottom w:w="0" w:type="dxa"/>
            <w:right w:w="0" w:type="dxa"/>
          </w:tblCellMar>
        </w:tblPrEx>
        <w:tc>
          <w:tcPr>
            <w:tcW w:w="4261"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平均</w:t>
            </w:r>
          </w:p>
        </w:tc>
        <w:tc>
          <w:tcPr>
            <w:tcW w:w="426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与东京备忘录均值相差在正负</w:t>
            </w:r>
            <w:r>
              <w:rPr>
                <w:rFonts w:hint="eastAsia" w:ascii="宋体" w:hAnsi="宋体" w:eastAsia="宋体" w:cs="宋体"/>
                <w:b/>
                <w:kern w:val="0"/>
                <w:sz w:val="24"/>
                <w:szCs w:val="24"/>
                <w:bdr w:val="none" w:color="auto" w:sz="0" w:space="0"/>
                <w:lang w:val="en-US" w:eastAsia="zh-CN" w:bidi="ar"/>
              </w:rPr>
              <w:t>1</w:t>
            </w:r>
            <w:r>
              <w:rPr>
                <w:rFonts w:hint="eastAsia" w:ascii="宋体" w:hAnsi="宋体" w:eastAsia="宋体" w:cs="宋体"/>
                <w:kern w:val="0"/>
                <w:sz w:val="24"/>
                <w:szCs w:val="24"/>
                <w:bdr w:val="none" w:color="auto" w:sz="0" w:space="0"/>
                <w:lang w:val="en-US" w:eastAsia="zh-CN" w:bidi="ar"/>
              </w:rPr>
              <w:t>个分值以内</w:t>
            </w:r>
          </w:p>
        </w:tc>
      </w:tr>
      <w:tr>
        <w:tblPrEx>
          <w:tblLayout w:type="fixed"/>
          <w:tblCellMar>
            <w:top w:w="0" w:type="dxa"/>
            <w:left w:w="0" w:type="dxa"/>
            <w:bottom w:w="0" w:type="dxa"/>
            <w:right w:w="0" w:type="dxa"/>
          </w:tblCellMar>
        </w:tblPrEx>
        <w:tc>
          <w:tcPr>
            <w:tcW w:w="4261"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低于平均</w:t>
            </w:r>
          </w:p>
        </w:tc>
        <w:tc>
          <w:tcPr>
            <w:tcW w:w="426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缺陷指数低于东京备忘录均值至少1个分值</w:t>
            </w:r>
          </w:p>
        </w:tc>
      </w:tr>
    </w:tbl>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u w:val="single"/>
          <w:lang w:val="en-US" w:eastAsia="zh-CN" w:bidi="ar"/>
        </w:rPr>
        <w:t>Detention Index</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u w:val="single"/>
          <w:lang w:val="en-US" w:eastAsia="zh-CN" w:bidi="ar"/>
        </w:rPr>
        <w:t>滞留指数</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3.6        The Detention Index is the ratio of the number of detentions all ships in a company’s fleet to the number of inspections of all the ships in the company’s fleet within the last 36 months.</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3.6    滞留指数是该船舶管理公司所管理的船队所有船舶在前36个月的所有被检查船舶的滞留次数与该计算时段内该船舶管理公司所管理的船队所有船舶接受检查总次数的比值。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3.7        This ratio is compared with the average for all ships inspected in the Tokyo MOU over the last three calendar years to determine whether the index is average, above average or below average as follows.</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3.7    上述比值与东京备忘录前3个日历年度内所有检查船舶的平均滞留率进行比较，以确定缺陷指数是否达到、高于或低于平均滞留率，如下表：</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Table 4 - Detention Index</w:t>
      </w:r>
    </w:p>
    <w:tbl>
      <w:tblPr>
        <w:tblW w:w="8522" w:type="dxa"/>
        <w:tblInd w:w="0" w:type="dxa"/>
        <w:shd w:val="clear"/>
        <w:tblLayout w:type="fixed"/>
        <w:tblCellMar>
          <w:top w:w="0" w:type="dxa"/>
          <w:left w:w="0" w:type="dxa"/>
          <w:bottom w:w="0" w:type="dxa"/>
          <w:right w:w="0" w:type="dxa"/>
        </w:tblCellMar>
      </w:tblPr>
      <w:tblGrid>
        <w:gridCol w:w="4261"/>
        <w:gridCol w:w="4261"/>
      </w:tblGrid>
      <w:tr>
        <w:tblPrEx>
          <w:shd w:val="clear"/>
          <w:tblLayout w:type="fixed"/>
          <w:tblCellMar>
            <w:top w:w="0" w:type="dxa"/>
            <w:left w:w="0" w:type="dxa"/>
            <w:bottom w:w="0" w:type="dxa"/>
            <w:right w:w="0" w:type="dxa"/>
          </w:tblCellMar>
        </w:tblPrEx>
        <w:tc>
          <w:tcPr>
            <w:tcW w:w="426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kern w:val="0"/>
                <w:sz w:val="24"/>
                <w:szCs w:val="24"/>
                <w:bdr w:val="none" w:color="auto" w:sz="0" w:space="0"/>
                <w:lang w:val="en-US" w:eastAsia="zh-CN" w:bidi="ar"/>
              </w:rPr>
              <w:t>Detention Index</w:t>
            </w:r>
          </w:p>
        </w:tc>
        <w:tc>
          <w:tcPr>
            <w:tcW w:w="4261"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kern w:val="0"/>
                <w:sz w:val="24"/>
                <w:szCs w:val="24"/>
                <w:bdr w:val="none" w:color="auto" w:sz="0" w:space="0"/>
                <w:lang w:val="en-US" w:eastAsia="zh-CN" w:bidi="ar"/>
              </w:rPr>
              <w:t>Detention rate</w:t>
            </w:r>
          </w:p>
        </w:tc>
      </w:tr>
      <w:tr>
        <w:tblPrEx>
          <w:tblLayout w:type="fixed"/>
          <w:tblCellMar>
            <w:top w:w="0" w:type="dxa"/>
            <w:left w:w="0" w:type="dxa"/>
            <w:bottom w:w="0" w:type="dxa"/>
            <w:right w:w="0" w:type="dxa"/>
          </w:tblCellMar>
        </w:tblPrEx>
        <w:tc>
          <w:tcPr>
            <w:tcW w:w="4261"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Above average</w:t>
            </w:r>
          </w:p>
        </w:tc>
        <w:tc>
          <w:tcPr>
            <w:tcW w:w="426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&gt; 1% above Tokyo MOU average</w:t>
            </w:r>
          </w:p>
        </w:tc>
      </w:tr>
      <w:tr>
        <w:tblPrEx>
          <w:tblLayout w:type="fixed"/>
          <w:tblCellMar>
            <w:top w:w="0" w:type="dxa"/>
            <w:left w:w="0" w:type="dxa"/>
            <w:bottom w:w="0" w:type="dxa"/>
            <w:right w:w="0" w:type="dxa"/>
          </w:tblCellMar>
        </w:tblPrEx>
        <w:tc>
          <w:tcPr>
            <w:tcW w:w="4261"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Average</w:t>
            </w:r>
          </w:p>
        </w:tc>
        <w:tc>
          <w:tcPr>
            <w:tcW w:w="426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Tokyo MOU average +/- 1%</w:t>
            </w:r>
          </w:p>
        </w:tc>
      </w:tr>
      <w:tr>
        <w:tblPrEx>
          <w:tblLayout w:type="fixed"/>
          <w:tblCellMar>
            <w:top w:w="0" w:type="dxa"/>
            <w:left w:w="0" w:type="dxa"/>
            <w:bottom w:w="0" w:type="dxa"/>
            <w:right w:w="0" w:type="dxa"/>
          </w:tblCellMar>
        </w:tblPrEx>
        <w:tc>
          <w:tcPr>
            <w:tcW w:w="4261"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Below average</w:t>
            </w:r>
          </w:p>
        </w:tc>
        <w:tc>
          <w:tcPr>
            <w:tcW w:w="426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&gt; 1% below Tokyo MOU average</w:t>
            </w:r>
          </w:p>
        </w:tc>
      </w:tr>
    </w:tbl>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表四 滞留指数</w:t>
      </w:r>
    </w:p>
    <w:tbl>
      <w:tblPr>
        <w:tblW w:w="8521" w:type="dxa"/>
        <w:tblInd w:w="0" w:type="dxa"/>
        <w:shd w:val="clear"/>
        <w:tblLayout w:type="fixed"/>
        <w:tblCellMar>
          <w:top w:w="0" w:type="dxa"/>
          <w:left w:w="0" w:type="dxa"/>
          <w:bottom w:w="0" w:type="dxa"/>
          <w:right w:w="0" w:type="dxa"/>
        </w:tblCellMar>
      </w:tblPr>
      <w:tblGrid>
        <w:gridCol w:w="4258"/>
        <w:gridCol w:w="4263"/>
      </w:tblGrid>
      <w:tr>
        <w:tblPrEx>
          <w:shd w:val="clear"/>
          <w:tblLayout w:type="fixed"/>
          <w:tblCellMar>
            <w:top w:w="0" w:type="dxa"/>
            <w:left w:w="0" w:type="dxa"/>
            <w:bottom w:w="0" w:type="dxa"/>
            <w:right w:w="0" w:type="dxa"/>
          </w:tblCellMar>
        </w:tblPrEx>
        <w:tc>
          <w:tcPr>
            <w:tcW w:w="425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kern w:val="0"/>
                <w:sz w:val="24"/>
                <w:szCs w:val="24"/>
                <w:bdr w:val="none" w:color="auto" w:sz="0" w:space="0"/>
                <w:lang w:val="en-US" w:eastAsia="zh-CN" w:bidi="ar"/>
              </w:rPr>
              <w:t>滞留指数</w:t>
            </w:r>
          </w:p>
        </w:tc>
        <w:tc>
          <w:tcPr>
            <w:tcW w:w="4263"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b/>
                <w:kern w:val="0"/>
                <w:sz w:val="24"/>
                <w:szCs w:val="24"/>
                <w:bdr w:val="none" w:color="auto" w:sz="0" w:space="0"/>
                <w:lang w:val="en-US" w:eastAsia="zh-CN" w:bidi="ar"/>
              </w:rPr>
              <w:t>滞留率</w:t>
            </w:r>
          </w:p>
        </w:tc>
      </w:tr>
      <w:tr>
        <w:tblPrEx>
          <w:tblLayout w:type="fixed"/>
          <w:tblCellMar>
            <w:top w:w="0" w:type="dxa"/>
            <w:left w:w="0" w:type="dxa"/>
            <w:bottom w:w="0" w:type="dxa"/>
            <w:right w:w="0" w:type="dxa"/>
          </w:tblCellMar>
        </w:tblPrEx>
        <w:tc>
          <w:tcPr>
            <w:tcW w:w="425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高于平均</w:t>
            </w:r>
          </w:p>
        </w:tc>
        <w:tc>
          <w:tcPr>
            <w:tcW w:w="426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 xml:space="preserve">大于东京备忘录平均滞留率1% </w:t>
            </w:r>
          </w:p>
        </w:tc>
      </w:tr>
      <w:tr>
        <w:tblPrEx>
          <w:tblLayout w:type="fixed"/>
          <w:tblCellMar>
            <w:top w:w="0" w:type="dxa"/>
            <w:left w:w="0" w:type="dxa"/>
            <w:bottom w:w="0" w:type="dxa"/>
            <w:right w:w="0" w:type="dxa"/>
          </w:tblCellMar>
        </w:tblPrEx>
        <w:tc>
          <w:tcPr>
            <w:tcW w:w="425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平均</w:t>
            </w:r>
          </w:p>
        </w:tc>
        <w:tc>
          <w:tcPr>
            <w:tcW w:w="426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在东京备忘录平均滞留率±1%幅度范围内</w:t>
            </w:r>
          </w:p>
        </w:tc>
      </w:tr>
      <w:tr>
        <w:tblPrEx>
          <w:tblLayout w:type="fixed"/>
          <w:tblCellMar>
            <w:top w:w="0" w:type="dxa"/>
            <w:left w:w="0" w:type="dxa"/>
            <w:bottom w:w="0" w:type="dxa"/>
            <w:right w:w="0" w:type="dxa"/>
          </w:tblCellMar>
        </w:tblPrEx>
        <w:tc>
          <w:tcPr>
            <w:tcW w:w="425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低于平均</w:t>
            </w:r>
          </w:p>
        </w:tc>
        <w:tc>
          <w:tcPr>
            <w:tcW w:w="426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小于东京备忘录平均滞留率1%</w:t>
            </w:r>
          </w:p>
        </w:tc>
      </w:tr>
    </w:tbl>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u w:val="single"/>
          <w:lang w:val="en-US" w:eastAsia="zh-CN" w:bidi="ar"/>
        </w:rPr>
        <w:t>Company Performance Matrix</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u w:val="single"/>
          <w:lang w:val="en-US" w:eastAsia="zh-CN" w:bidi="ar"/>
        </w:rPr>
        <w:t>公司绩效矩阵</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3.8        Using the below matrix, the combination of deficiency and detention indexes determines the performance level.</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3.8    利用以下矩阵，以公司缺陷指数和滞留指数的组合来确定公司绩效等级。</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Table 5 - Company Performance Matrix</w:t>
      </w:r>
    </w:p>
    <w:tbl>
      <w:tblPr>
        <w:tblW w:w="7609" w:type="dxa"/>
        <w:jc w:val="center"/>
        <w:tblInd w:w="448" w:type="dxa"/>
        <w:shd w:val="clear"/>
        <w:tblLayout w:type="fixed"/>
        <w:tblCellMar>
          <w:top w:w="0" w:type="dxa"/>
          <w:left w:w="0" w:type="dxa"/>
          <w:bottom w:w="0" w:type="dxa"/>
          <w:right w:w="0" w:type="dxa"/>
        </w:tblCellMar>
      </w:tblPr>
      <w:tblGrid>
        <w:gridCol w:w="2060"/>
        <w:gridCol w:w="2100"/>
        <w:gridCol w:w="3449"/>
      </w:tblGrid>
      <w:tr>
        <w:tblPrEx>
          <w:shd w:val="clear"/>
          <w:tblLayout w:type="fixed"/>
          <w:tblCellMar>
            <w:top w:w="0" w:type="dxa"/>
            <w:left w:w="0" w:type="dxa"/>
            <w:bottom w:w="0" w:type="dxa"/>
            <w:right w:w="0" w:type="dxa"/>
          </w:tblCellMar>
        </w:tblPrEx>
        <w:trPr>
          <w:trHeight w:val="495" w:hRule="atLeast"/>
          <w:jc w:val="center"/>
        </w:trPr>
        <w:tc>
          <w:tcPr>
            <w:tcW w:w="2060" w:type="dxa"/>
            <w:tcBorders>
              <w:top w:val="single" w:color="auto" w:sz="8" w:space="0"/>
              <w:left w:val="single" w:color="auto" w:sz="8" w:space="0"/>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bdr w:val="none" w:color="auto" w:sz="0" w:space="0"/>
                <w:lang w:val="en-US" w:eastAsia="zh-CN" w:bidi="ar"/>
              </w:rPr>
              <w:t>Detention Index</w:t>
            </w:r>
          </w:p>
        </w:tc>
        <w:tc>
          <w:tcPr>
            <w:tcW w:w="2100" w:type="dxa"/>
            <w:tcBorders>
              <w:top w:val="single" w:color="auto" w:sz="8" w:space="0"/>
              <w:left w:val="nil"/>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bdr w:val="none" w:color="auto" w:sz="0" w:space="0"/>
                <w:lang w:val="en-US" w:eastAsia="zh-CN" w:bidi="ar"/>
              </w:rPr>
              <w:t>Deficiency Index</w:t>
            </w:r>
          </w:p>
        </w:tc>
        <w:tc>
          <w:tcPr>
            <w:tcW w:w="3449" w:type="dxa"/>
            <w:tcBorders>
              <w:top w:val="single" w:color="auto" w:sz="8" w:space="0"/>
              <w:left w:val="nil"/>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bdr w:val="none" w:color="auto" w:sz="0" w:space="0"/>
                <w:lang w:val="en-US" w:eastAsia="zh-CN" w:bidi="ar"/>
              </w:rPr>
              <w:t>Company Performance</w:t>
            </w:r>
          </w:p>
        </w:tc>
      </w:tr>
      <w:tr>
        <w:tblPrEx>
          <w:tblLayout w:type="fixed"/>
          <w:tblCellMar>
            <w:top w:w="0" w:type="dxa"/>
            <w:left w:w="0" w:type="dxa"/>
            <w:bottom w:w="0" w:type="dxa"/>
            <w:right w:w="0" w:type="dxa"/>
          </w:tblCellMar>
        </w:tblPrEx>
        <w:trPr>
          <w:trHeight w:val="285" w:hRule="atLeast"/>
          <w:jc w:val="center"/>
        </w:trPr>
        <w:tc>
          <w:tcPr>
            <w:tcW w:w="2060" w:type="dxa"/>
            <w:tcBorders>
              <w:top w:val="nil"/>
              <w:left w:val="single" w:color="auto" w:sz="8" w:space="0"/>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Above average</w:t>
            </w:r>
          </w:p>
        </w:tc>
        <w:tc>
          <w:tcPr>
            <w:tcW w:w="2100" w:type="dxa"/>
            <w:tcBorders>
              <w:top w:val="nil"/>
              <w:left w:val="nil"/>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Above average</w:t>
            </w:r>
          </w:p>
        </w:tc>
        <w:tc>
          <w:tcPr>
            <w:tcW w:w="3449" w:type="dxa"/>
            <w:tcBorders>
              <w:top w:val="nil"/>
              <w:left w:val="nil"/>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Very Low</w:t>
            </w:r>
          </w:p>
        </w:tc>
      </w:tr>
      <w:tr>
        <w:tblPrEx>
          <w:tblLayout w:type="fixed"/>
          <w:tblCellMar>
            <w:top w:w="0" w:type="dxa"/>
            <w:left w:w="0" w:type="dxa"/>
            <w:bottom w:w="0" w:type="dxa"/>
            <w:right w:w="0" w:type="dxa"/>
          </w:tblCellMar>
        </w:tblPrEx>
        <w:trPr>
          <w:trHeight w:val="270" w:hRule="atLeast"/>
          <w:jc w:val="center"/>
        </w:trPr>
        <w:tc>
          <w:tcPr>
            <w:tcW w:w="2060" w:type="dxa"/>
            <w:tcBorders>
              <w:top w:val="nil"/>
              <w:left w:val="single" w:color="auto" w:sz="8" w:space="0"/>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Above average</w:t>
            </w:r>
          </w:p>
        </w:tc>
        <w:tc>
          <w:tcPr>
            <w:tcW w:w="2100" w:type="dxa"/>
            <w:tcBorders>
              <w:top w:val="nil"/>
              <w:left w:val="nil"/>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Average</w:t>
            </w:r>
          </w:p>
        </w:tc>
        <w:tc>
          <w:tcPr>
            <w:tcW w:w="3449" w:type="dxa"/>
            <w:vMerge w:val="restart"/>
            <w:tcBorders>
              <w:top w:val="nil"/>
              <w:left w:val="nil"/>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Low</w:t>
            </w:r>
          </w:p>
        </w:tc>
      </w:tr>
      <w:tr>
        <w:tblPrEx>
          <w:tblLayout w:type="fixed"/>
          <w:tblCellMar>
            <w:top w:w="0" w:type="dxa"/>
            <w:left w:w="0" w:type="dxa"/>
            <w:bottom w:w="0" w:type="dxa"/>
            <w:right w:w="0" w:type="dxa"/>
          </w:tblCellMar>
        </w:tblPrEx>
        <w:trPr>
          <w:trHeight w:val="270" w:hRule="atLeast"/>
          <w:jc w:val="center"/>
        </w:trPr>
        <w:tc>
          <w:tcPr>
            <w:tcW w:w="2060" w:type="dxa"/>
            <w:tcBorders>
              <w:top w:val="nil"/>
              <w:left w:val="single" w:color="auto" w:sz="8" w:space="0"/>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Above average</w:t>
            </w:r>
          </w:p>
        </w:tc>
        <w:tc>
          <w:tcPr>
            <w:tcW w:w="2100" w:type="dxa"/>
            <w:tcBorders>
              <w:top w:val="nil"/>
              <w:left w:val="nil"/>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Below average</w:t>
            </w:r>
          </w:p>
        </w:tc>
        <w:tc>
          <w:tcPr>
            <w:tcW w:w="3449" w:type="dxa"/>
            <w:vMerge w:val="continue"/>
            <w:tcBorders>
              <w:top w:val="nil"/>
              <w:left w:val="nil"/>
              <w:bottom w:val="single" w:color="auto" w:sz="8" w:space="0"/>
              <w:right w:val="single" w:color="auto" w:sz="8" w:space="0"/>
            </w:tcBorders>
            <w:shd w:val="clear"/>
            <w:tcMar>
              <w:left w:w="99" w:type="dxa"/>
              <w:right w:w="99"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270" w:hRule="atLeast"/>
          <w:jc w:val="center"/>
        </w:trPr>
        <w:tc>
          <w:tcPr>
            <w:tcW w:w="2060" w:type="dxa"/>
            <w:tcBorders>
              <w:top w:val="nil"/>
              <w:left w:val="single" w:color="auto" w:sz="8" w:space="0"/>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Average</w:t>
            </w:r>
          </w:p>
        </w:tc>
        <w:tc>
          <w:tcPr>
            <w:tcW w:w="2100" w:type="dxa"/>
            <w:tcBorders>
              <w:top w:val="nil"/>
              <w:left w:val="nil"/>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Above average</w:t>
            </w:r>
          </w:p>
        </w:tc>
        <w:tc>
          <w:tcPr>
            <w:tcW w:w="3449" w:type="dxa"/>
            <w:vMerge w:val="continue"/>
            <w:tcBorders>
              <w:top w:val="nil"/>
              <w:left w:val="nil"/>
              <w:bottom w:val="single" w:color="auto" w:sz="8" w:space="0"/>
              <w:right w:val="single" w:color="auto" w:sz="8" w:space="0"/>
            </w:tcBorders>
            <w:shd w:val="clear"/>
            <w:tcMar>
              <w:left w:w="99" w:type="dxa"/>
              <w:right w:w="99"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285" w:hRule="atLeast"/>
          <w:jc w:val="center"/>
        </w:trPr>
        <w:tc>
          <w:tcPr>
            <w:tcW w:w="2060" w:type="dxa"/>
            <w:tcBorders>
              <w:top w:val="nil"/>
              <w:left w:val="single" w:color="auto" w:sz="8" w:space="0"/>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Below average</w:t>
            </w:r>
          </w:p>
        </w:tc>
        <w:tc>
          <w:tcPr>
            <w:tcW w:w="2100" w:type="dxa"/>
            <w:tcBorders>
              <w:top w:val="nil"/>
              <w:left w:val="nil"/>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Above average</w:t>
            </w:r>
          </w:p>
        </w:tc>
        <w:tc>
          <w:tcPr>
            <w:tcW w:w="3449" w:type="dxa"/>
            <w:vMerge w:val="continue"/>
            <w:tcBorders>
              <w:top w:val="nil"/>
              <w:left w:val="nil"/>
              <w:bottom w:val="single" w:color="auto" w:sz="8" w:space="0"/>
              <w:right w:val="single" w:color="auto" w:sz="8" w:space="0"/>
            </w:tcBorders>
            <w:shd w:val="clear"/>
            <w:tcMar>
              <w:left w:w="99" w:type="dxa"/>
              <w:right w:w="99"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270" w:hRule="atLeast"/>
          <w:jc w:val="center"/>
        </w:trPr>
        <w:tc>
          <w:tcPr>
            <w:tcW w:w="2060" w:type="dxa"/>
            <w:tcBorders>
              <w:top w:val="nil"/>
              <w:left w:val="single" w:color="auto" w:sz="8" w:space="0"/>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Average</w:t>
            </w:r>
          </w:p>
        </w:tc>
        <w:tc>
          <w:tcPr>
            <w:tcW w:w="2100" w:type="dxa"/>
            <w:tcBorders>
              <w:top w:val="nil"/>
              <w:left w:val="nil"/>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Average</w:t>
            </w:r>
          </w:p>
        </w:tc>
        <w:tc>
          <w:tcPr>
            <w:tcW w:w="3449" w:type="dxa"/>
            <w:vMerge w:val="restart"/>
            <w:tcBorders>
              <w:top w:val="nil"/>
              <w:left w:val="nil"/>
              <w:bottom w:val="nil"/>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Medium</w:t>
            </w:r>
          </w:p>
        </w:tc>
      </w:tr>
      <w:tr>
        <w:tblPrEx>
          <w:tblLayout w:type="fixed"/>
          <w:tblCellMar>
            <w:top w:w="0" w:type="dxa"/>
            <w:left w:w="0" w:type="dxa"/>
            <w:bottom w:w="0" w:type="dxa"/>
            <w:right w:w="0" w:type="dxa"/>
          </w:tblCellMar>
        </w:tblPrEx>
        <w:trPr>
          <w:trHeight w:val="270" w:hRule="atLeast"/>
          <w:jc w:val="center"/>
        </w:trPr>
        <w:tc>
          <w:tcPr>
            <w:tcW w:w="2060" w:type="dxa"/>
            <w:tcBorders>
              <w:top w:val="nil"/>
              <w:left w:val="single" w:color="auto" w:sz="8" w:space="0"/>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Average</w:t>
            </w:r>
          </w:p>
        </w:tc>
        <w:tc>
          <w:tcPr>
            <w:tcW w:w="2100" w:type="dxa"/>
            <w:tcBorders>
              <w:top w:val="nil"/>
              <w:left w:val="nil"/>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Below average</w:t>
            </w:r>
          </w:p>
        </w:tc>
        <w:tc>
          <w:tcPr>
            <w:tcW w:w="3449" w:type="dxa"/>
            <w:vMerge w:val="continue"/>
            <w:tcBorders>
              <w:top w:val="nil"/>
              <w:left w:val="nil"/>
              <w:bottom w:val="nil"/>
              <w:right w:val="single" w:color="auto" w:sz="8" w:space="0"/>
            </w:tcBorders>
            <w:shd w:val="clear"/>
            <w:tcMar>
              <w:left w:w="99" w:type="dxa"/>
              <w:right w:w="99"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285" w:hRule="atLeast"/>
          <w:jc w:val="center"/>
        </w:trPr>
        <w:tc>
          <w:tcPr>
            <w:tcW w:w="2060" w:type="dxa"/>
            <w:tcBorders>
              <w:top w:val="nil"/>
              <w:left w:val="single" w:color="auto" w:sz="8" w:space="0"/>
              <w:bottom w:val="nil"/>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Below average</w:t>
            </w:r>
          </w:p>
        </w:tc>
        <w:tc>
          <w:tcPr>
            <w:tcW w:w="2100" w:type="dxa"/>
            <w:tcBorders>
              <w:top w:val="nil"/>
              <w:left w:val="nil"/>
              <w:bottom w:val="nil"/>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Average</w:t>
            </w:r>
          </w:p>
        </w:tc>
        <w:tc>
          <w:tcPr>
            <w:tcW w:w="3449" w:type="dxa"/>
            <w:vMerge w:val="continue"/>
            <w:tcBorders>
              <w:top w:val="nil"/>
              <w:left w:val="nil"/>
              <w:bottom w:val="nil"/>
              <w:right w:val="single" w:color="auto" w:sz="8" w:space="0"/>
            </w:tcBorders>
            <w:shd w:val="clear"/>
            <w:tcMar>
              <w:left w:w="99" w:type="dxa"/>
              <w:right w:w="99"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285" w:hRule="atLeast"/>
          <w:jc w:val="center"/>
        </w:trPr>
        <w:tc>
          <w:tcPr>
            <w:tcW w:w="2060" w:type="dxa"/>
            <w:tcBorders>
              <w:top w:val="single" w:color="auto" w:sz="8" w:space="0"/>
              <w:left w:val="single" w:color="auto" w:sz="8" w:space="0"/>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Below average</w:t>
            </w:r>
          </w:p>
        </w:tc>
        <w:tc>
          <w:tcPr>
            <w:tcW w:w="2100" w:type="dxa"/>
            <w:tcBorders>
              <w:top w:val="single" w:color="auto" w:sz="8" w:space="0"/>
              <w:left w:val="nil"/>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Below average</w:t>
            </w:r>
          </w:p>
        </w:tc>
        <w:tc>
          <w:tcPr>
            <w:tcW w:w="3449" w:type="dxa"/>
            <w:tcBorders>
              <w:top w:val="single" w:color="auto" w:sz="8" w:space="0"/>
              <w:left w:val="nil"/>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High</w:t>
            </w:r>
          </w:p>
        </w:tc>
      </w:tr>
    </w:tbl>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表5 公司绩效矩阵</w:t>
      </w:r>
    </w:p>
    <w:tbl>
      <w:tblPr>
        <w:tblW w:w="7609" w:type="dxa"/>
        <w:jc w:val="center"/>
        <w:tblInd w:w="448" w:type="dxa"/>
        <w:shd w:val="clear"/>
        <w:tblLayout w:type="fixed"/>
        <w:tblCellMar>
          <w:top w:w="0" w:type="dxa"/>
          <w:left w:w="0" w:type="dxa"/>
          <w:bottom w:w="0" w:type="dxa"/>
          <w:right w:w="0" w:type="dxa"/>
        </w:tblCellMar>
      </w:tblPr>
      <w:tblGrid>
        <w:gridCol w:w="2060"/>
        <w:gridCol w:w="2100"/>
        <w:gridCol w:w="3449"/>
      </w:tblGrid>
      <w:tr>
        <w:tblPrEx>
          <w:shd w:val="clear"/>
          <w:tblLayout w:type="fixed"/>
          <w:tblCellMar>
            <w:top w:w="0" w:type="dxa"/>
            <w:left w:w="0" w:type="dxa"/>
            <w:bottom w:w="0" w:type="dxa"/>
            <w:right w:w="0" w:type="dxa"/>
          </w:tblCellMar>
        </w:tblPrEx>
        <w:trPr>
          <w:trHeight w:val="495" w:hRule="atLeast"/>
          <w:jc w:val="center"/>
        </w:trPr>
        <w:tc>
          <w:tcPr>
            <w:tcW w:w="2060" w:type="dxa"/>
            <w:tcBorders>
              <w:top w:val="single" w:color="auto" w:sz="8" w:space="0"/>
              <w:left w:val="single" w:color="auto" w:sz="8" w:space="0"/>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bdr w:val="none" w:color="auto" w:sz="0" w:space="0"/>
                <w:lang w:val="en-US" w:eastAsia="zh-CN" w:bidi="ar"/>
              </w:rPr>
              <w:t>滞留指数</w:t>
            </w:r>
          </w:p>
        </w:tc>
        <w:tc>
          <w:tcPr>
            <w:tcW w:w="2100" w:type="dxa"/>
            <w:tcBorders>
              <w:top w:val="single" w:color="auto" w:sz="8" w:space="0"/>
              <w:left w:val="nil"/>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bdr w:val="none" w:color="auto" w:sz="0" w:space="0"/>
                <w:lang w:val="en-US" w:eastAsia="zh-CN" w:bidi="ar"/>
              </w:rPr>
              <w:t>缺陷指数</w:t>
            </w:r>
          </w:p>
        </w:tc>
        <w:tc>
          <w:tcPr>
            <w:tcW w:w="3449" w:type="dxa"/>
            <w:tcBorders>
              <w:top w:val="single" w:color="auto" w:sz="8" w:space="0"/>
              <w:left w:val="nil"/>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bdr w:val="none" w:color="auto" w:sz="0" w:space="0"/>
                <w:lang w:val="en-US" w:eastAsia="zh-CN" w:bidi="ar"/>
              </w:rPr>
              <w:t>公司绩效</w:t>
            </w:r>
          </w:p>
        </w:tc>
      </w:tr>
      <w:tr>
        <w:tblPrEx>
          <w:tblLayout w:type="fixed"/>
          <w:tblCellMar>
            <w:top w:w="0" w:type="dxa"/>
            <w:left w:w="0" w:type="dxa"/>
            <w:bottom w:w="0" w:type="dxa"/>
            <w:right w:w="0" w:type="dxa"/>
          </w:tblCellMar>
        </w:tblPrEx>
        <w:trPr>
          <w:trHeight w:val="285" w:hRule="atLeast"/>
          <w:jc w:val="center"/>
        </w:trPr>
        <w:tc>
          <w:tcPr>
            <w:tcW w:w="2060" w:type="dxa"/>
            <w:tcBorders>
              <w:top w:val="nil"/>
              <w:left w:val="single" w:color="auto" w:sz="8" w:space="0"/>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高于平均</w:t>
            </w:r>
          </w:p>
        </w:tc>
        <w:tc>
          <w:tcPr>
            <w:tcW w:w="2100" w:type="dxa"/>
            <w:tcBorders>
              <w:top w:val="nil"/>
              <w:left w:val="nil"/>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高于平均</w:t>
            </w:r>
          </w:p>
        </w:tc>
        <w:tc>
          <w:tcPr>
            <w:tcW w:w="3449" w:type="dxa"/>
            <w:tcBorders>
              <w:top w:val="nil"/>
              <w:left w:val="nil"/>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极低</w:t>
            </w:r>
          </w:p>
        </w:tc>
      </w:tr>
      <w:tr>
        <w:tblPrEx>
          <w:tblLayout w:type="fixed"/>
          <w:tblCellMar>
            <w:top w:w="0" w:type="dxa"/>
            <w:left w:w="0" w:type="dxa"/>
            <w:bottom w:w="0" w:type="dxa"/>
            <w:right w:w="0" w:type="dxa"/>
          </w:tblCellMar>
        </w:tblPrEx>
        <w:trPr>
          <w:trHeight w:val="270" w:hRule="atLeast"/>
          <w:jc w:val="center"/>
        </w:trPr>
        <w:tc>
          <w:tcPr>
            <w:tcW w:w="2060" w:type="dxa"/>
            <w:tcBorders>
              <w:top w:val="nil"/>
              <w:left w:val="single" w:color="auto" w:sz="8" w:space="0"/>
              <w:bottom w:val="single" w:color="auto" w:sz="8" w:space="0"/>
              <w:right w:val="single" w:color="auto" w:sz="8" w:space="0"/>
            </w:tcBorders>
            <w:shd w:val="clear"/>
            <w:tcMar>
              <w:left w:w="99" w:type="dxa"/>
              <w:right w:w="99"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高于平均</w:t>
            </w:r>
          </w:p>
        </w:tc>
        <w:tc>
          <w:tcPr>
            <w:tcW w:w="2100" w:type="dxa"/>
            <w:tcBorders>
              <w:top w:val="nil"/>
              <w:left w:val="nil"/>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平均</w:t>
            </w:r>
          </w:p>
        </w:tc>
        <w:tc>
          <w:tcPr>
            <w:tcW w:w="3449" w:type="dxa"/>
            <w:vMerge w:val="restart"/>
            <w:tcBorders>
              <w:top w:val="nil"/>
              <w:left w:val="nil"/>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低</w:t>
            </w:r>
          </w:p>
        </w:tc>
      </w:tr>
      <w:tr>
        <w:tblPrEx>
          <w:tblLayout w:type="fixed"/>
          <w:tblCellMar>
            <w:top w:w="0" w:type="dxa"/>
            <w:left w:w="0" w:type="dxa"/>
            <w:bottom w:w="0" w:type="dxa"/>
            <w:right w:w="0" w:type="dxa"/>
          </w:tblCellMar>
        </w:tblPrEx>
        <w:trPr>
          <w:trHeight w:val="270" w:hRule="atLeast"/>
          <w:jc w:val="center"/>
        </w:trPr>
        <w:tc>
          <w:tcPr>
            <w:tcW w:w="2060" w:type="dxa"/>
            <w:tcBorders>
              <w:top w:val="nil"/>
              <w:left w:val="single" w:color="auto" w:sz="8" w:space="0"/>
              <w:bottom w:val="single" w:color="auto" w:sz="8" w:space="0"/>
              <w:right w:val="single" w:color="auto" w:sz="8" w:space="0"/>
            </w:tcBorders>
            <w:shd w:val="clear"/>
            <w:tcMar>
              <w:left w:w="99" w:type="dxa"/>
              <w:right w:w="99"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高于平均</w:t>
            </w:r>
          </w:p>
        </w:tc>
        <w:tc>
          <w:tcPr>
            <w:tcW w:w="2100" w:type="dxa"/>
            <w:tcBorders>
              <w:top w:val="nil"/>
              <w:left w:val="nil"/>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低于平均</w:t>
            </w:r>
          </w:p>
        </w:tc>
        <w:tc>
          <w:tcPr>
            <w:tcW w:w="3449" w:type="dxa"/>
            <w:vMerge w:val="continue"/>
            <w:tcBorders>
              <w:top w:val="nil"/>
              <w:left w:val="nil"/>
              <w:bottom w:val="single" w:color="auto" w:sz="8" w:space="0"/>
              <w:right w:val="single" w:color="auto" w:sz="8" w:space="0"/>
            </w:tcBorders>
            <w:shd w:val="clear"/>
            <w:tcMar>
              <w:left w:w="99" w:type="dxa"/>
              <w:right w:w="99"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270" w:hRule="atLeast"/>
          <w:jc w:val="center"/>
        </w:trPr>
        <w:tc>
          <w:tcPr>
            <w:tcW w:w="2060" w:type="dxa"/>
            <w:tcBorders>
              <w:top w:val="nil"/>
              <w:left w:val="single" w:color="auto" w:sz="8" w:space="0"/>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平均</w:t>
            </w:r>
          </w:p>
        </w:tc>
        <w:tc>
          <w:tcPr>
            <w:tcW w:w="2100" w:type="dxa"/>
            <w:tcBorders>
              <w:top w:val="nil"/>
              <w:left w:val="nil"/>
              <w:bottom w:val="single" w:color="auto" w:sz="8" w:space="0"/>
              <w:right w:val="single" w:color="auto" w:sz="8" w:space="0"/>
            </w:tcBorders>
            <w:shd w:val="clear"/>
            <w:tcMar>
              <w:left w:w="99" w:type="dxa"/>
              <w:right w:w="99"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高于平均</w:t>
            </w:r>
          </w:p>
        </w:tc>
        <w:tc>
          <w:tcPr>
            <w:tcW w:w="3449" w:type="dxa"/>
            <w:vMerge w:val="continue"/>
            <w:tcBorders>
              <w:top w:val="nil"/>
              <w:left w:val="nil"/>
              <w:bottom w:val="single" w:color="auto" w:sz="8" w:space="0"/>
              <w:right w:val="single" w:color="auto" w:sz="8" w:space="0"/>
            </w:tcBorders>
            <w:shd w:val="clear"/>
            <w:tcMar>
              <w:left w:w="99" w:type="dxa"/>
              <w:right w:w="99"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285" w:hRule="atLeast"/>
          <w:jc w:val="center"/>
        </w:trPr>
        <w:tc>
          <w:tcPr>
            <w:tcW w:w="2060" w:type="dxa"/>
            <w:tcBorders>
              <w:top w:val="nil"/>
              <w:left w:val="single" w:color="auto" w:sz="8" w:space="0"/>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低于平均</w:t>
            </w:r>
          </w:p>
        </w:tc>
        <w:tc>
          <w:tcPr>
            <w:tcW w:w="2100" w:type="dxa"/>
            <w:tcBorders>
              <w:top w:val="nil"/>
              <w:left w:val="nil"/>
              <w:bottom w:val="single" w:color="auto" w:sz="8" w:space="0"/>
              <w:right w:val="single" w:color="auto" w:sz="8" w:space="0"/>
            </w:tcBorders>
            <w:shd w:val="clear"/>
            <w:tcMar>
              <w:left w:w="99" w:type="dxa"/>
              <w:right w:w="99"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高于平均</w:t>
            </w:r>
          </w:p>
        </w:tc>
        <w:tc>
          <w:tcPr>
            <w:tcW w:w="3449" w:type="dxa"/>
            <w:vMerge w:val="continue"/>
            <w:tcBorders>
              <w:top w:val="nil"/>
              <w:left w:val="nil"/>
              <w:bottom w:val="single" w:color="auto" w:sz="8" w:space="0"/>
              <w:right w:val="single" w:color="auto" w:sz="8" w:space="0"/>
            </w:tcBorders>
            <w:shd w:val="clear"/>
            <w:tcMar>
              <w:left w:w="99" w:type="dxa"/>
              <w:right w:w="99"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270" w:hRule="atLeast"/>
          <w:jc w:val="center"/>
        </w:trPr>
        <w:tc>
          <w:tcPr>
            <w:tcW w:w="2060" w:type="dxa"/>
            <w:tcBorders>
              <w:top w:val="nil"/>
              <w:left w:val="single" w:color="auto" w:sz="8" w:space="0"/>
              <w:bottom w:val="single" w:color="auto" w:sz="8" w:space="0"/>
              <w:right w:val="single" w:color="auto" w:sz="8" w:space="0"/>
            </w:tcBorders>
            <w:shd w:val="clear"/>
            <w:tcMar>
              <w:left w:w="99" w:type="dxa"/>
              <w:right w:w="99"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平均</w:t>
            </w:r>
          </w:p>
        </w:tc>
        <w:tc>
          <w:tcPr>
            <w:tcW w:w="2100" w:type="dxa"/>
            <w:tcBorders>
              <w:top w:val="nil"/>
              <w:left w:val="nil"/>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平均</w:t>
            </w:r>
          </w:p>
        </w:tc>
        <w:tc>
          <w:tcPr>
            <w:tcW w:w="3449" w:type="dxa"/>
            <w:vMerge w:val="restart"/>
            <w:tcBorders>
              <w:top w:val="nil"/>
              <w:left w:val="nil"/>
              <w:bottom w:val="nil"/>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中</w:t>
            </w:r>
          </w:p>
        </w:tc>
      </w:tr>
      <w:tr>
        <w:tblPrEx>
          <w:tblLayout w:type="fixed"/>
          <w:tblCellMar>
            <w:top w:w="0" w:type="dxa"/>
            <w:left w:w="0" w:type="dxa"/>
            <w:bottom w:w="0" w:type="dxa"/>
            <w:right w:w="0" w:type="dxa"/>
          </w:tblCellMar>
        </w:tblPrEx>
        <w:trPr>
          <w:trHeight w:val="270" w:hRule="atLeast"/>
          <w:jc w:val="center"/>
        </w:trPr>
        <w:tc>
          <w:tcPr>
            <w:tcW w:w="2060" w:type="dxa"/>
            <w:tcBorders>
              <w:top w:val="nil"/>
              <w:left w:val="single" w:color="auto" w:sz="8" w:space="0"/>
              <w:bottom w:val="single" w:color="auto" w:sz="8" w:space="0"/>
              <w:right w:val="single" w:color="auto" w:sz="8" w:space="0"/>
            </w:tcBorders>
            <w:shd w:val="clear"/>
            <w:tcMar>
              <w:left w:w="99" w:type="dxa"/>
              <w:right w:w="99"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平均</w:t>
            </w:r>
          </w:p>
        </w:tc>
        <w:tc>
          <w:tcPr>
            <w:tcW w:w="2100" w:type="dxa"/>
            <w:tcBorders>
              <w:top w:val="nil"/>
              <w:left w:val="nil"/>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低于平均</w:t>
            </w:r>
          </w:p>
        </w:tc>
        <w:tc>
          <w:tcPr>
            <w:tcW w:w="3449" w:type="dxa"/>
            <w:vMerge w:val="continue"/>
            <w:tcBorders>
              <w:top w:val="nil"/>
              <w:left w:val="nil"/>
              <w:bottom w:val="nil"/>
              <w:right w:val="single" w:color="auto" w:sz="8" w:space="0"/>
            </w:tcBorders>
            <w:shd w:val="clear"/>
            <w:tcMar>
              <w:left w:w="99" w:type="dxa"/>
              <w:right w:w="99"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285" w:hRule="atLeast"/>
          <w:jc w:val="center"/>
        </w:trPr>
        <w:tc>
          <w:tcPr>
            <w:tcW w:w="2060" w:type="dxa"/>
            <w:tcBorders>
              <w:top w:val="nil"/>
              <w:left w:val="single" w:color="auto" w:sz="8" w:space="0"/>
              <w:bottom w:val="nil"/>
              <w:right w:val="single" w:color="auto" w:sz="8" w:space="0"/>
            </w:tcBorders>
            <w:shd w:val="clear"/>
            <w:tcMar>
              <w:left w:w="99" w:type="dxa"/>
              <w:right w:w="99"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低于平均</w:t>
            </w:r>
          </w:p>
        </w:tc>
        <w:tc>
          <w:tcPr>
            <w:tcW w:w="2100" w:type="dxa"/>
            <w:tcBorders>
              <w:top w:val="nil"/>
              <w:left w:val="nil"/>
              <w:bottom w:val="nil"/>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平均</w:t>
            </w:r>
          </w:p>
        </w:tc>
        <w:tc>
          <w:tcPr>
            <w:tcW w:w="3449" w:type="dxa"/>
            <w:vMerge w:val="continue"/>
            <w:tcBorders>
              <w:top w:val="nil"/>
              <w:left w:val="nil"/>
              <w:bottom w:val="nil"/>
              <w:right w:val="single" w:color="auto" w:sz="8" w:space="0"/>
            </w:tcBorders>
            <w:shd w:val="clear"/>
            <w:tcMar>
              <w:left w:w="99" w:type="dxa"/>
              <w:right w:w="99"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285" w:hRule="atLeast"/>
          <w:jc w:val="center"/>
        </w:trPr>
        <w:tc>
          <w:tcPr>
            <w:tcW w:w="2060" w:type="dxa"/>
            <w:tcBorders>
              <w:top w:val="single" w:color="auto" w:sz="8" w:space="0"/>
              <w:left w:val="single" w:color="auto" w:sz="8" w:space="0"/>
              <w:bottom w:val="single" w:color="auto" w:sz="8" w:space="0"/>
              <w:right w:val="single" w:color="auto" w:sz="8" w:space="0"/>
            </w:tcBorders>
            <w:shd w:val="clear"/>
            <w:tcMar>
              <w:left w:w="99" w:type="dxa"/>
              <w:right w:w="99" w:type="dxa"/>
            </w:tcMar>
            <w:vAlign w:val="top"/>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低于平均</w:t>
            </w:r>
          </w:p>
        </w:tc>
        <w:tc>
          <w:tcPr>
            <w:tcW w:w="2100" w:type="dxa"/>
            <w:tcBorders>
              <w:top w:val="single" w:color="auto" w:sz="8" w:space="0"/>
              <w:left w:val="nil"/>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低于平均</w:t>
            </w:r>
          </w:p>
        </w:tc>
        <w:tc>
          <w:tcPr>
            <w:tcW w:w="3449" w:type="dxa"/>
            <w:tcBorders>
              <w:top w:val="single" w:color="auto" w:sz="8" w:space="0"/>
              <w:left w:val="nil"/>
              <w:bottom w:val="single" w:color="auto" w:sz="8" w:space="0"/>
              <w:right w:val="single" w:color="auto" w:sz="8" w:space="0"/>
            </w:tcBorders>
            <w:shd w:val="clear"/>
            <w:tcMar>
              <w:left w:w="99" w:type="dxa"/>
              <w:right w:w="99"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高</w:t>
            </w:r>
          </w:p>
        </w:tc>
      </w:tr>
    </w:tbl>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sz w:val="24"/>
          <w:szCs w:val="24"/>
          <w:lang w:val="en-US" w:eastAsia="zh-CN" w:bidi="ar"/>
        </w:rPr>
        <w:br w:type="page"/>
      </w:r>
      <w:r>
        <w:rPr>
          <w:rFonts w:hint="eastAsia" w:ascii="宋体" w:hAnsi="宋体" w:eastAsia="宋体" w:cs="宋体"/>
          <w:kern w:val="0"/>
          <w:sz w:val="24"/>
          <w:szCs w:val="24"/>
          <w:lang w:val="en-US" w:eastAsia="zh-CN" w:bidi="ar"/>
        </w:rPr>
        <w:t>附件2</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东京备忘录新检查机制（NIR）总体介绍</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bookmarkStart w:id="0" w:name="_Toc371602934"/>
      <w:r>
        <w:rPr>
          <w:rFonts w:hint="eastAsia" w:ascii="宋体" w:hAnsi="宋体" w:eastAsia="宋体" w:cs="宋体"/>
          <w:kern w:val="0"/>
          <w:sz w:val="24"/>
          <w:szCs w:val="24"/>
          <w:lang w:val="en-US" w:eastAsia="zh-CN" w:bidi="ar"/>
        </w:rPr>
        <w:t>东京备忘录现行检查机制实施现状</w:t>
      </w:r>
      <w:bookmarkEnd w:id="0"/>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东京备忘录现行检查机制是基于船舶目标因子和风险而确定港口国监督检查的优先等级，其规定的选船机制和检查优先等级的设置，除去备忘录附则3的表现不佳船舶和第3.3.2款规定的优先检查的船舶，以及现行检查机制高风险和极高风险船舶外，其他船舶的检查窗口时间统一规定为6个月，即“6个月内不再检查”的机制。该机制很难体现不同船舶的检查频率需求，在一定程度上造成了港口国监督检查资源的浪费，还增加了管理水平高和技术状况良好的船舶在迎接港口国监督检查方面的负担。</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对船舶和公司的监管手段如检验、检查和审核等，都不如公司对船舶主动管理的连续和直接，而公司的良好绩效是保持良好船舶技术状况的根源。与公司审核管理相比，港口国监督检查对船舶的监督管理更为直接。但在现行检查机制的环境下，即便船舶因多项性质严重的缺陷被滞留，港口国监督检查官的权限仅局限于对船舶提出附加审核的要求。公司安全绩效好坏的区别在现行检查机制中难以体现，不利于推动公司安全管理水平的提升。</w:t>
      </w:r>
    </w:p>
    <w:p>
      <w:pPr>
        <w:keepNext w:val="0"/>
        <w:keepLines w:val="0"/>
        <w:widowControl/>
        <w:suppressLineNumbers w:val="0"/>
        <w:spacing w:before="0" w:beforeAutospacing="1" w:after="0" w:afterAutospacing="1" w:line="560" w:lineRule="atLeast"/>
        <w:ind w:left="0" w:right="0"/>
        <w:jc w:val="left"/>
      </w:pPr>
      <w:bookmarkStart w:id="1" w:name="_Toc371602935"/>
      <w:r>
        <w:rPr>
          <w:rFonts w:hint="eastAsia" w:ascii="宋体" w:hAnsi="宋体" w:eastAsia="宋体" w:cs="宋体"/>
          <w:kern w:val="0"/>
          <w:sz w:val="24"/>
          <w:szCs w:val="24"/>
          <w:lang w:val="en-US" w:eastAsia="zh-CN" w:bidi="ar"/>
        </w:rPr>
        <w:t>东京备忘录NIR出台背景</w:t>
      </w:r>
      <w:bookmarkEnd w:id="1"/>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东京备忘录和巴黎备忘录在2004年召开了第二届部长级联合会议，决定协调两个备忘录的港口国监督检查程序向一致性发展。“威望号”沉船和泄油事故后，欧盟意识到原有港口国监督检查机制无法完全阻止低标准船舶进入该水域营运。为避免和减少低标准船舶进入其水域，欧盟于2009年3月11日通过了第三套海事安全一揽子法令，即2009/16/EC。根据该法令的要求，巴黎备忘录委员会第42次会议，通过了引入了对公司绩效的考核和针对不同风险的船舶实施不同检查频率的选船和检查理念的新港口国监督检查机制（巴黎备忘录NIR），于2011年1月1日起正式实施。巴黎备忘录NIR充分吸收了IMO综合安全评估（FSA）在风险评估方面的研究成果，对高风险船舶采取灵活和持续的管理办法，使用了船旗国表现、检验机构表现、公司表现来识别和评估船舶的风险，把以风险分析技术为核心的FSA方法引进航运安全管理。</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在东京备忘录第19次委员会后，由加拿大牵头，包括中国、澳大利亚、智利、香港、日本、韩国、马来西亚、俄罗斯、新加坡以及巴黎备忘录秘书处代表在内成立了东京备忘录NIR工作组，启动了东京备忘录NIR的编写工作。东京备忘录第20次、21次、22次委员会分别对东京备忘录NIR进行了讨论和修改.2013年1月，东京备忘录第23次委员会会议审议通过了东京备忘录NIR，定于2014年1月1日正式实施。2013年10月,东京备忘录第24次委员会将东京备忘录NIR的最终稿纳入备忘录的附则2。</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东京备忘录NIR与现行检查机制的比较</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相比现行的检查机制，东京备忘录NIR对船舶计分方法和选船机制进行了修改，使得船舶风险等级的划分更为科学合理，具体表现如下：</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第四节</w:t>
      </w:r>
      <w:r>
        <w:rPr>
          <w:rFonts w:hint="default" w:ascii="Times New Roman" w:hAnsi="Times New Roman" w:eastAsia="宋体" w:cs="Times New Roman"/>
          <w:kern w:val="0"/>
          <w:sz w:val="14"/>
          <w:szCs w:val="14"/>
          <w:lang w:val="en-US" w:eastAsia="zh-CN" w:bidi="ar"/>
        </w:rPr>
        <w:t xml:space="preserve"> </w:t>
      </w:r>
      <w:r>
        <w:rPr>
          <w:rFonts w:hint="eastAsia" w:ascii="宋体" w:hAnsi="宋体" w:eastAsia="宋体" w:cs="宋体"/>
          <w:kern w:val="0"/>
          <w:sz w:val="24"/>
          <w:szCs w:val="24"/>
          <w:lang w:val="en-US" w:eastAsia="zh-CN" w:bidi="ar"/>
        </w:rPr>
        <w:t>对特定船舶类型所带来风险的关注度提升</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现行选船机制的高风险船型为船龄15年及以上的油船、化学品船、散货船、客船、多用途船、冷藏船、滚装货船和滚装客船而言，船型和船龄的赋值较低，无法真正体现其存在的风险和可能带来的深刻影响。</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东京备忘录NIR对油船、化学品船、气体运输船、客船以及散货船这类特定船型直接赋予2分的船型加权分的做法，体现了对这类特定船舶风险程度的关注度的提升。2分大大提高了高风险船舶（4分）的最低权重分值比例，将会促使船舶提高管理质量。</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第五节</w:t>
      </w:r>
      <w:r>
        <w:rPr>
          <w:rFonts w:hint="default" w:ascii="Times New Roman" w:hAnsi="Times New Roman" w:eastAsia="宋体" w:cs="Times New Roman"/>
          <w:kern w:val="0"/>
          <w:sz w:val="14"/>
          <w:szCs w:val="14"/>
          <w:lang w:val="en-US" w:eastAsia="zh-CN" w:bidi="ar"/>
        </w:rPr>
        <w:t xml:space="preserve"> </w:t>
      </w:r>
      <w:r>
        <w:rPr>
          <w:rFonts w:hint="eastAsia" w:ascii="宋体" w:hAnsi="宋体" w:eastAsia="宋体" w:cs="宋体"/>
          <w:kern w:val="0"/>
          <w:sz w:val="24"/>
          <w:szCs w:val="24"/>
          <w:lang w:val="en-US" w:eastAsia="zh-CN" w:bidi="ar"/>
        </w:rPr>
        <w:t>船龄对船舶风险的影响有所降低</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现行检查选船机制下，船舶风险受船龄的影响较为显著，随着船龄的增加而明显增加。但实际上船龄对公司管理良好和设备状况优良的船舶的影响程度并不一定会特别明显。</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东京备忘录NIR 简化了船龄参数的设置，仅在高风险船舶评判标准中将船龄设置为12年，对所有船龄大于12 年的船舶赋予1 分的加权分值，小于等于12年船龄的船舶不加分，船龄对船舶风险的影响有所降低。而且，只要各方面表现满足要求，船龄大于12 年的船舶还有可能被评为低风险船舶。</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第六节</w:t>
      </w:r>
      <w:r>
        <w:rPr>
          <w:rFonts w:hint="default" w:ascii="Times New Roman" w:hAnsi="Times New Roman" w:eastAsia="宋体" w:cs="Times New Roman"/>
          <w:kern w:val="0"/>
          <w:sz w:val="14"/>
          <w:szCs w:val="14"/>
          <w:lang w:val="en-US" w:eastAsia="zh-CN" w:bidi="ar"/>
        </w:rPr>
        <w:t xml:space="preserve"> </w:t>
      </w:r>
      <w:r>
        <w:rPr>
          <w:rFonts w:hint="eastAsia" w:ascii="宋体" w:hAnsi="宋体" w:eastAsia="宋体" w:cs="宋体"/>
          <w:kern w:val="0"/>
          <w:sz w:val="24"/>
          <w:szCs w:val="24"/>
          <w:lang w:val="en-US" w:eastAsia="zh-CN" w:bidi="ar"/>
        </w:rPr>
        <w:t>引入了船舶管理公司绩效参数</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在船舶风险评估体系的构建上，东京备忘录NIR引入了公司绩效作为评估船舶风险的参数之一，并大幅提高了公司管理体系缺陷的分值（每个体系缺陷记为5分，非体系缺陷记为1分）。公司绩效的计算是以该公司旗下所有船舶过去36个月在东京备忘录的检查记录为基础，由缺陷指数和滞留指数两部分数据计算组成。当公司绩效为“低”或以下级别，其所属船舶被直接赋予2分的加权分值，大大提高了高风险船舶的分值比例。</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公司绩效的引入，实现了港口国监督检查对公司直接管理的目标，改变了以往港口国监督检查与公司审核管理之间存在的脱节现象，有利于从源头上监督船舶安全和防污染的执行情况。</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第七节</w:t>
      </w:r>
      <w:r>
        <w:rPr>
          <w:rFonts w:hint="default" w:ascii="Times New Roman" w:hAnsi="Times New Roman" w:eastAsia="宋体" w:cs="Times New Roman"/>
          <w:kern w:val="0"/>
          <w:sz w:val="14"/>
          <w:szCs w:val="14"/>
          <w:lang w:val="en-US" w:eastAsia="zh-CN" w:bidi="ar"/>
        </w:rPr>
        <w:t xml:space="preserve"> </w:t>
      </w:r>
      <w:r>
        <w:rPr>
          <w:rFonts w:hint="eastAsia" w:ascii="宋体" w:hAnsi="宋体" w:eastAsia="宋体" w:cs="宋体"/>
          <w:kern w:val="0"/>
          <w:sz w:val="24"/>
          <w:szCs w:val="24"/>
          <w:lang w:val="en-US" w:eastAsia="zh-CN" w:bidi="ar"/>
        </w:rPr>
        <w:t>缺陷和滞留对船舶风险属性影响的改变</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NIR实施后，36个月内船舶每一次检查缺陷数超过5项，该轮不仅无法被评估为低风险船舶，而且将在高风险船舶的属性评估过程中得到每次1分的加权分。这将促使船舶做好维护保养，提高船舶质量，努力降低或消除每次检查缺陷的数量。同时，三次滞留才能在船舶评估中加1分。滞留对船舶风险评估影响的降低，在一定程度上也遏制了港口国监督检查官个人主观因素对船舶风险评估的影响。由此，缺陷对船舶风险属性的影响将更大，而滞留对船舶风险属性的影响将有所降低。</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第八节</w:t>
      </w:r>
      <w:r>
        <w:rPr>
          <w:rFonts w:hint="default" w:ascii="Times New Roman" w:hAnsi="Times New Roman" w:eastAsia="宋体" w:cs="Times New Roman"/>
          <w:kern w:val="0"/>
          <w:sz w:val="14"/>
          <w:szCs w:val="14"/>
          <w:lang w:val="en-US" w:eastAsia="zh-CN" w:bidi="ar"/>
        </w:rPr>
        <w:t xml:space="preserve"> </w:t>
      </w:r>
      <w:r>
        <w:rPr>
          <w:rFonts w:hint="eastAsia" w:ascii="宋体" w:hAnsi="宋体" w:eastAsia="宋体" w:cs="宋体"/>
          <w:kern w:val="0"/>
          <w:sz w:val="24"/>
          <w:szCs w:val="24"/>
          <w:lang w:val="en-US" w:eastAsia="zh-CN" w:bidi="ar"/>
        </w:rPr>
        <w:t>推出了全新的选船机制</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基于该选船机制确定的优先检查等级实现了针对不同风险等级的船舶实施不同检查周期的目标，有助于减少对高质量船舶的检查频率，减轻公司的港口国监督检查负担。</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因此，东京备忘录NIR将对港口国监督检查、船舶管理公司和航运市场的发展带来新的挑战。东京备忘录NIR 机制下的船舶风险属性、选船机制和公司绩效的三个方面，形成相互影响、相互渗透和相互制约的关系。</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东京备忘录新检查机制实施后的影响</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（一）对船舶和航运公司的影响</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NIR的实施对拥有较多船龄大于12年的油船、散货船、散化船等特定船型的航运公司和船舶影响较大。该类船舶的船舶类型和船龄因素，在高风险船舶计算时先被赋予了3分加权分，因此该类船舶在港口国监督检查中，只要有一次检查超过5个缺陷，将立即导致船舶进入高风险属性区域，面临着接受更为频繁检查可能性，对船舶的营运和周转将带来不利的影响。</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对于规模大、船舶数量多的公司，如船舶整体检查历史记录良好，个别较差的船舶历史检查结果对公司的影响将被其他船舶的良好表现数据所稀释，对公司绩效影响较小。而对于管理船舶数量较少的公司，有可能被某艘或某几艘船舶表现差的检查记录影响而降低公司绩效，从而导致公司旗下全部船舶进入到高风险船舶的行列。</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（二）对港口国监督检查工作的影响</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由于船舶安全检查中将5个缺陷作为加分的临界点，对船舶风险的影响非常重要，有可能导致船舶直接从低风险船舶变成高风险船舶，对于公司和船舶可能难以接受，相应造成船员和港口国监督检查官的现场争议。相比以往仅仅对滞留个案的重视，东京备忘录NIR实施后，可能同时面临对滞留个案和对缺陷争议的申诉和复审增加的现象。</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由于船舶或公司的申诉或复审可能增加，将使港口国监督检查官在检查和缺陷开具面临更严谨的环境。作为港口国监督检查官，不但要充分了解掌握东京备忘录NIR规定的船舶风险属性、选船机制和公司绩效计算等相关内容，还要充分评估滞留、单次检查5个以上缺陷和ISM方面缺陷对船舶以及公司绩效带来的影响。同时，港口国监督检查官还应有良好的英语水准，不仅能与船方有效沟通，还能精准描述缺陷的客观实际、援引正确公约依据并规范处理。</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此外，由于ISM缺陷权重较大，对港口国监督检查官还提出了熟悉体系审核方面知识的要求，正确界定港口国监督检查过程中安全管理体系方面的缺陷，准确描述并规范处理。</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（三）对航运业界的影响</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东京备忘录NIR实施后，随着低风险船舶检查频率的急剧下降，此类船舶的运营成本将逐步下降，低风险船舶的市场竞争力将显著提升。而NIR对高风险船舶的检查频率设置为2-4个月可以检查，超过4个月必须检查，将造成低标准船舶频繁接受检查，而且陷入“越检查分值越高，分值越高越容易接受频繁检查”的恶性循环，进而达到寸步难行的地步，有助于加快淘汰低标准船的速度。</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此外，东京备忘录NIR在评估船舶风险时，充分考虑了船旗、船级社绩效、IMO自愿审核等因素，将有助于促进船舶悬挂通过IMO自愿审核的白名单国家的船旗，激励认可组织提高检验发证水平，保持良好绩效。</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sz w:val="24"/>
          <w:szCs w:val="24"/>
          <w:lang w:val="en-US" w:eastAsia="zh-CN" w:bidi="ar"/>
        </w:rPr>
        <w:br w:type="page"/>
      </w:r>
      <w:r>
        <w:rPr>
          <w:rFonts w:hint="eastAsia" w:ascii="宋体" w:hAnsi="宋体" w:eastAsia="宋体" w:cs="宋体"/>
          <w:kern w:val="0"/>
          <w:sz w:val="24"/>
          <w:szCs w:val="24"/>
          <w:lang w:val="en-US" w:eastAsia="zh-CN" w:bidi="ar"/>
        </w:rPr>
        <w:t>附件3</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新检查机制实施工作任务分解表</w:t>
      </w:r>
    </w:p>
    <w:tbl>
      <w:tblPr>
        <w:tblW w:w="8520" w:type="dxa"/>
        <w:tblInd w:w="0" w:type="dxa"/>
        <w:shd w:val="clear"/>
        <w:tblLayout w:type="fixed"/>
        <w:tblCellMar>
          <w:top w:w="0" w:type="dxa"/>
          <w:left w:w="0" w:type="dxa"/>
          <w:bottom w:w="0" w:type="dxa"/>
          <w:right w:w="0" w:type="dxa"/>
        </w:tblCellMar>
      </w:tblPr>
      <w:tblGrid>
        <w:gridCol w:w="710"/>
        <w:gridCol w:w="4391"/>
        <w:gridCol w:w="1853"/>
        <w:gridCol w:w="1566"/>
      </w:tblGrid>
      <w:tr>
        <w:tblPrEx>
          <w:shd w:val="clear"/>
          <w:tblLayout w:type="fixed"/>
          <w:tblCellMar>
            <w:top w:w="0" w:type="dxa"/>
            <w:left w:w="0" w:type="dxa"/>
            <w:bottom w:w="0" w:type="dxa"/>
            <w:right w:w="0" w:type="dxa"/>
          </w:tblCellMar>
        </w:tblPrEx>
        <w:trPr>
          <w:trHeight w:val="726" w:hRule="atLeast"/>
        </w:trPr>
        <w:tc>
          <w:tcPr>
            <w:tcW w:w="71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序号</w:t>
            </w:r>
          </w:p>
        </w:tc>
        <w:tc>
          <w:tcPr>
            <w:tcW w:w="439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任务</w:t>
            </w:r>
          </w:p>
        </w:tc>
        <w:tc>
          <w:tcPr>
            <w:tcW w:w="185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责任单位</w:t>
            </w:r>
          </w:p>
        </w:tc>
        <w:tc>
          <w:tcPr>
            <w:tcW w:w="156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完成时限</w:t>
            </w:r>
          </w:p>
        </w:tc>
      </w:tr>
      <w:tr>
        <w:tblPrEx>
          <w:tblLayout w:type="fixed"/>
          <w:tblCellMar>
            <w:top w:w="0" w:type="dxa"/>
            <w:left w:w="0" w:type="dxa"/>
            <w:bottom w:w="0" w:type="dxa"/>
            <w:right w:w="0" w:type="dxa"/>
          </w:tblCellMar>
        </w:tblPrEx>
        <w:trPr>
          <w:trHeight w:val="726" w:hRule="atLeast"/>
        </w:trPr>
        <w:tc>
          <w:tcPr>
            <w:tcW w:w="7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43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组织辖区航运公司参加视频宣贯会</w:t>
            </w:r>
          </w:p>
        </w:tc>
        <w:tc>
          <w:tcPr>
            <w:tcW w:w="18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各直属海事局</w:t>
            </w:r>
          </w:p>
        </w:tc>
        <w:tc>
          <w:tcPr>
            <w:tcW w:w="15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2013年底</w:t>
            </w:r>
          </w:p>
        </w:tc>
      </w:tr>
      <w:tr>
        <w:tblPrEx>
          <w:tblLayout w:type="fixed"/>
          <w:tblCellMar>
            <w:top w:w="0" w:type="dxa"/>
            <w:left w:w="0" w:type="dxa"/>
            <w:bottom w:w="0" w:type="dxa"/>
            <w:right w:w="0" w:type="dxa"/>
          </w:tblCellMar>
        </w:tblPrEx>
        <w:trPr>
          <w:trHeight w:val="726" w:hRule="atLeast"/>
        </w:trPr>
        <w:tc>
          <w:tcPr>
            <w:tcW w:w="7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2</w:t>
            </w:r>
          </w:p>
        </w:tc>
        <w:tc>
          <w:tcPr>
            <w:tcW w:w="43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编印新检查机制宣传材料</w:t>
            </w:r>
          </w:p>
        </w:tc>
        <w:tc>
          <w:tcPr>
            <w:tcW w:w="18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天津海事局</w:t>
            </w:r>
          </w:p>
        </w:tc>
        <w:tc>
          <w:tcPr>
            <w:tcW w:w="15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2013年底</w:t>
            </w:r>
          </w:p>
        </w:tc>
      </w:tr>
      <w:tr>
        <w:tblPrEx>
          <w:tblLayout w:type="fixed"/>
          <w:tblCellMar>
            <w:top w:w="0" w:type="dxa"/>
            <w:left w:w="0" w:type="dxa"/>
            <w:bottom w:w="0" w:type="dxa"/>
            <w:right w:w="0" w:type="dxa"/>
          </w:tblCellMar>
        </w:tblPrEx>
        <w:trPr>
          <w:trHeight w:val="726" w:hRule="atLeast"/>
        </w:trPr>
        <w:tc>
          <w:tcPr>
            <w:tcW w:w="7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3</w:t>
            </w:r>
          </w:p>
        </w:tc>
        <w:tc>
          <w:tcPr>
            <w:tcW w:w="43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中国港口国监督数据库选船模块调整</w:t>
            </w:r>
          </w:p>
        </w:tc>
        <w:tc>
          <w:tcPr>
            <w:tcW w:w="18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辽宁海事局</w:t>
            </w:r>
          </w:p>
        </w:tc>
        <w:tc>
          <w:tcPr>
            <w:tcW w:w="15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2013年底</w:t>
            </w:r>
          </w:p>
        </w:tc>
      </w:tr>
      <w:tr>
        <w:tblPrEx>
          <w:tblLayout w:type="fixed"/>
          <w:tblCellMar>
            <w:top w:w="0" w:type="dxa"/>
            <w:left w:w="0" w:type="dxa"/>
            <w:bottom w:w="0" w:type="dxa"/>
            <w:right w:w="0" w:type="dxa"/>
          </w:tblCellMar>
        </w:tblPrEx>
        <w:trPr>
          <w:trHeight w:val="726" w:hRule="atLeast"/>
        </w:trPr>
        <w:tc>
          <w:tcPr>
            <w:tcW w:w="7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4</w:t>
            </w:r>
          </w:p>
        </w:tc>
        <w:tc>
          <w:tcPr>
            <w:tcW w:w="43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模拟测算中国航运企业在新检查机制下的表现</w:t>
            </w:r>
          </w:p>
        </w:tc>
        <w:tc>
          <w:tcPr>
            <w:tcW w:w="18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辽宁海事局</w:t>
            </w:r>
          </w:p>
        </w:tc>
        <w:tc>
          <w:tcPr>
            <w:tcW w:w="15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2013年底</w:t>
            </w:r>
          </w:p>
        </w:tc>
      </w:tr>
      <w:tr>
        <w:tblPrEx>
          <w:tblLayout w:type="fixed"/>
          <w:tblCellMar>
            <w:top w:w="0" w:type="dxa"/>
            <w:left w:w="0" w:type="dxa"/>
            <w:bottom w:w="0" w:type="dxa"/>
            <w:right w:w="0" w:type="dxa"/>
          </w:tblCellMar>
        </w:tblPrEx>
        <w:trPr>
          <w:trHeight w:val="726" w:hRule="atLeast"/>
        </w:trPr>
        <w:tc>
          <w:tcPr>
            <w:tcW w:w="7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5</w:t>
            </w:r>
          </w:p>
        </w:tc>
        <w:tc>
          <w:tcPr>
            <w:tcW w:w="43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新检查机制实施对策分析研究</w:t>
            </w:r>
          </w:p>
        </w:tc>
        <w:tc>
          <w:tcPr>
            <w:tcW w:w="18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上海海事局</w:t>
            </w:r>
          </w:p>
        </w:tc>
        <w:tc>
          <w:tcPr>
            <w:tcW w:w="15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2013年底</w:t>
            </w:r>
          </w:p>
        </w:tc>
      </w:tr>
      <w:tr>
        <w:tblPrEx>
          <w:tblLayout w:type="fixed"/>
          <w:tblCellMar>
            <w:top w:w="0" w:type="dxa"/>
            <w:left w:w="0" w:type="dxa"/>
            <w:bottom w:w="0" w:type="dxa"/>
            <w:right w:w="0" w:type="dxa"/>
          </w:tblCellMar>
        </w:tblPrEx>
        <w:trPr>
          <w:trHeight w:val="726" w:hRule="atLeast"/>
        </w:trPr>
        <w:tc>
          <w:tcPr>
            <w:tcW w:w="7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6</w:t>
            </w:r>
          </w:p>
        </w:tc>
        <w:tc>
          <w:tcPr>
            <w:tcW w:w="43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港口国监督决策支持系统进行升级改造</w:t>
            </w:r>
          </w:p>
        </w:tc>
        <w:tc>
          <w:tcPr>
            <w:tcW w:w="18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天津海事局</w:t>
            </w:r>
          </w:p>
        </w:tc>
        <w:tc>
          <w:tcPr>
            <w:tcW w:w="15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2014年4月</w:t>
            </w:r>
          </w:p>
        </w:tc>
      </w:tr>
      <w:tr>
        <w:tblPrEx>
          <w:tblLayout w:type="fixed"/>
          <w:tblCellMar>
            <w:top w:w="0" w:type="dxa"/>
            <w:left w:w="0" w:type="dxa"/>
            <w:bottom w:w="0" w:type="dxa"/>
            <w:right w:w="0" w:type="dxa"/>
          </w:tblCellMar>
        </w:tblPrEx>
        <w:trPr>
          <w:trHeight w:val="726" w:hRule="atLeast"/>
        </w:trPr>
        <w:tc>
          <w:tcPr>
            <w:tcW w:w="7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7</w:t>
            </w:r>
          </w:p>
        </w:tc>
        <w:tc>
          <w:tcPr>
            <w:tcW w:w="43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新检查机制实施情况后评估</w:t>
            </w:r>
          </w:p>
        </w:tc>
        <w:tc>
          <w:tcPr>
            <w:tcW w:w="18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上海、辽宁海事局</w:t>
            </w:r>
          </w:p>
        </w:tc>
        <w:tc>
          <w:tcPr>
            <w:tcW w:w="15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2014年6月</w:t>
            </w:r>
          </w:p>
        </w:tc>
      </w:tr>
      <w:tr>
        <w:tblPrEx>
          <w:tblLayout w:type="fixed"/>
          <w:tblCellMar>
            <w:top w:w="0" w:type="dxa"/>
            <w:left w:w="0" w:type="dxa"/>
            <w:bottom w:w="0" w:type="dxa"/>
            <w:right w:w="0" w:type="dxa"/>
          </w:tblCellMar>
        </w:tblPrEx>
        <w:trPr>
          <w:trHeight w:val="726" w:hRule="atLeast"/>
        </w:trPr>
        <w:tc>
          <w:tcPr>
            <w:tcW w:w="7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8</w:t>
            </w:r>
          </w:p>
        </w:tc>
        <w:tc>
          <w:tcPr>
            <w:tcW w:w="43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船舶安全检查管理规则的修订</w:t>
            </w:r>
          </w:p>
        </w:tc>
        <w:tc>
          <w:tcPr>
            <w:tcW w:w="18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上海海事局</w:t>
            </w:r>
          </w:p>
        </w:tc>
        <w:tc>
          <w:tcPr>
            <w:tcW w:w="15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2014年6月</w:t>
            </w:r>
          </w:p>
        </w:tc>
      </w:tr>
      <w:tr>
        <w:tblPrEx>
          <w:tblLayout w:type="fixed"/>
          <w:tblCellMar>
            <w:top w:w="0" w:type="dxa"/>
            <w:left w:w="0" w:type="dxa"/>
            <w:bottom w:w="0" w:type="dxa"/>
            <w:right w:w="0" w:type="dxa"/>
          </w:tblCellMar>
        </w:tblPrEx>
        <w:trPr>
          <w:trHeight w:val="726" w:hRule="atLeast"/>
        </w:trPr>
        <w:tc>
          <w:tcPr>
            <w:tcW w:w="7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9</w:t>
            </w:r>
          </w:p>
        </w:tc>
        <w:tc>
          <w:tcPr>
            <w:tcW w:w="43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船舶安全检查工作程序的修订</w:t>
            </w:r>
          </w:p>
        </w:tc>
        <w:tc>
          <w:tcPr>
            <w:tcW w:w="18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上海海事局</w:t>
            </w:r>
          </w:p>
        </w:tc>
        <w:tc>
          <w:tcPr>
            <w:tcW w:w="15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2014年6月</w:t>
            </w:r>
          </w:p>
        </w:tc>
      </w:tr>
      <w:tr>
        <w:tblPrEx>
          <w:tblLayout w:type="fixed"/>
          <w:tblCellMar>
            <w:top w:w="0" w:type="dxa"/>
            <w:left w:w="0" w:type="dxa"/>
            <w:bottom w:w="0" w:type="dxa"/>
            <w:right w:w="0" w:type="dxa"/>
          </w:tblCellMar>
        </w:tblPrEx>
        <w:trPr>
          <w:trHeight w:val="726" w:hRule="atLeast"/>
        </w:trPr>
        <w:tc>
          <w:tcPr>
            <w:tcW w:w="7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10</w:t>
            </w:r>
          </w:p>
        </w:tc>
        <w:tc>
          <w:tcPr>
            <w:tcW w:w="43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修订安全诚信船舶管理规定</w:t>
            </w:r>
          </w:p>
        </w:tc>
        <w:tc>
          <w:tcPr>
            <w:tcW w:w="18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天津海事局</w:t>
            </w:r>
          </w:p>
        </w:tc>
        <w:tc>
          <w:tcPr>
            <w:tcW w:w="15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2014年6月</w:t>
            </w:r>
          </w:p>
        </w:tc>
      </w:tr>
      <w:tr>
        <w:tblPrEx>
          <w:tblLayout w:type="fixed"/>
          <w:tblCellMar>
            <w:top w:w="0" w:type="dxa"/>
            <w:left w:w="0" w:type="dxa"/>
            <w:bottom w:w="0" w:type="dxa"/>
            <w:right w:w="0" w:type="dxa"/>
          </w:tblCellMar>
        </w:tblPrEx>
        <w:trPr>
          <w:trHeight w:val="726" w:hRule="atLeast"/>
        </w:trPr>
        <w:tc>
          <w:tcPr>
            <w:tcW w:w="7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bdr w:val="none" w:color="auto" w:sz="0" w:space="0"/>
                <w:lang w:val="en-US" w:eastAsia="zh-CN" w:bidi="ar"/>
              </w:rPr>
              <w:t>11</w:t>
            </w:r>
          </w:p>
        </w:tc>
        <w:tc>
          <w:tcPr>
            <w:tcW w:w="43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运用信息化手段控制船舶风险对策研究</w:t>
            </w:r>
          </w:p>
        </w:tc>
        <w:tc>
          <w:tcPr>
            <w:tcW w:w="185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辽宁海事局</w:t>
            </w:r>
          </w:p>
        </w:tc>
        <w:tc>
          <w:tcPr>
            <w:tcW w:w="15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bdr w:val="none" w:color="auto" w:sz="0" w:space="0"/>
                <w:lang w:val="en-US" w:eastAsia="zh-CN" w:bidi="ar"/>
              </w:rPr>
              <w:t>2014年底</w:t>
            </w:r>
          </w:p>
        </w:tc>
      </w:tr>
    </w:tbl>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b/>
          <w:color w:val="000000"/>
          <w:spacing w:val="-6"/>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2310"/>
        <w:jc w:val="right"/>
      </w:pPr>
      <w:r>
        <w:rPr>
          <w:rFonts w:hint="eastAsia" w:ascii="宋体" w:hAnsi="宋体" w:eastAsia="宋体" w:cs="宋体"/>
          <w:b/>
          <w:spacing w:val="-6"/>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210"/>
        <w:jc w:val="left"/>
      </w:pPr>
      <w:r>
        <w:rPr>
          <w:rFonts w:hint="eastAsia" w:ascii="宋体" w:hAnsi="宋体" w:eastAsia="宋体" w:cs="宋体"/>
          <w:b/>
          <w:color w:val="000000"/>
          <w:spacing w:val="-6"/>
          <w:kern w:val="0"/>
          <w:sz w:val="24"/>
          <w:szCs w:val="24"/>
          <w:lang w:val="en-US" w:eastAsia="zh-CN" w:bidi="ar"/>
        </w:rPr>
        <w:t xml:space="preserve">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2" w:name="_GoBack"/>
      <w:bookmarkEnd w:id="2"/>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F95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2018-08-30T07:38:11Z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