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7.4.1.10 关于船舶登记和检验有关问题的通知</w:t>
            </w:r>
          </w:p>
        </w:tc>
      </w:tr>
    </w:tbl>
    <w:p>
      <w:pPr>
        <w:pStyle w:val="8"/>
        <w:widowControl/>
        <w:spacing w:before="0" w:beforeAutospacing="0" w:after="0" w:afterAutospacing="0" w:line="560" w:lineRule="atLeast"/>
        <w:ind w:left="0" w:right="0"/>
        <w:jc w:val="center"/>
      </w:pPr>
      <w:bookmarkStart w:id="0" w:name="_Toc388108236"/>
      <w:bookmarkEnd w:id="0"/>
      <w:bookmarkStart w:id="1" w:name="_Toc388302639"/>
      <w:bookmarkEnd w:id="1"/>
      <w:bookmarkStart w:id="2" w:name="_Toc14098"/>
      <w:bookmarkEnd w:id="2"/>
      <w:bookmarkStart w:id="3" w:name="_Toc388444382"/>
      <w:r>
        <w:rPr>
          <w:b/>
          <w:lang w:eastAsia="zh-CN"/>
        </w:rPr>
        <w:t>关于船舶登记和检验有关问题的通知</w:t>
      </w:r>
      <w:bookmarkEnd w:id="3"/>
    </w:p>
    <w:p>
      <w:pPr>
        <w:pStyle w:val="7"/>
        <w:widowControl/>
        <w:spacing w:line="560" w:lineRule="atLeast"/>
        <w:ind w:left="0" w:firstLine="480"/>
        <w:jc w:val="center"/>
      </w:pPr>
      <w:bookmarkStart w:id="4" w:name="_Toc388444383"/>
      <w:bookmarkEnd w:id="4"/>
      <w:bookmarkStart w:id="5" w:name="_Toc388302640"/>
      <w:bookmarkEnd w:id="5"/>
      <w:bookmarkStart w:id="6" w:name="_Toc8221"/>
      <w:bookmarkEnd w:id="6"/>
      <w:bookmarkStart w:id="7" w:name="_Toc388108237"/>
      <w:r>
        <w:rPr>
          <w:lang w:eastAsia="zh-CN"/>
        </w:rPr>
        <w:t>海船舶</w:t>
      </w:r>
      <w:r>
        <w:rPr>
          <w:lang w:val="en-US"/>
        </w:rPr>
        <w:t>[2005]18</w:t>
      </w:r>
      <w:r>
        <w:rPr>
          <w:lang w:eastAsia="zh-CN"/>
        </w:rPr>
        <w:t>号</w:t>
      </w:r>
      <w:bookmarkEnd w:id="7"/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9"/>
        <w:widowControl/>
        <w:spacing w:line="560" w:lineRule="atLeast"/>
      </w:pPr>
      <w:r>
        <w:rPr>
          <w:lang w:eastAsia="zh-CN"/>
        </w:rPr>
        <w:t>各直属海事局，各省、自治区、直辖市地方海事局、船舶检验局，中国船级社：</w:t>
      </w:r>
    </w:p>
    <w:p>
      <w:pPr>
        <w:pStyle w:val="7"/>
        <w:widowControl/>
        <w:spacing w:line="560" w:lineRule="atLeast"/>
        <w:ind w:left="0" w:firstLine="480"/>
      </w:pPr>
      <w:r>
        <w:rPr>
          <w:lang w:eastAsia="zh-CN"/>
        </w:rPr>
        <w:t>近来，海事管理机构在监督检查中发现，一些船舶在主机没有更换的情况下对主机功率进行变更，并办理了变更登记。这种变更既不科学，也不合理规范变更登记行为。特通知如下：</w:t>
      </w:r>
    </w:p>
    <w:p>
      <w:pPr>
        <w:pStyle w:val="7"/>
        <w:widowControl/>
        <w:spacing w:line="560" w:lineRule="atLeast"/>
        <w:ind w:left="0" w:firstLine="480"/>
      </w:pPr>
      <w:r>
        <w:rPr>
          <w:lang w:eastAsia="zh-CN"/>
        </w:rPr>
        <w:t>所有船舶登记及检验证书中的主机功率的数据，必须以出厂标定的功率为准。船检机构不得对其随意更改，一经发现将对责任验船师和验船机构追究责任和严肃处理；船舶登记机关不得受理船舶在未更换主机情况下的主机功率变更。对于已办理此种变更登记的，船舶登记机关必须在</w:t>
      </w:r>
      <w:r>
        <w:rPr>
          <w:lang w:val="en-US"/>
        </w:rPr>
        <w:t>2005</w:t>
      </w:r>
      <w:r>
        <w:rPr>
          <w:lang w:eastAsia="zh-CN"/>
        </w:rPr>
        <w:t>年</w:t>
      </w:r>
      <w:r>
        <w:rPr>
          <w:lang w:val="en-US"/>
        </w:rPr>
        <w:t>3</w:t>
      </w:r>
      <w:r>
        <w:rPr>
          <w:lang w:eastAsia="zh-CN"/>
        </w:rPr>
        <w:t>月</w:t>
      </w:r>
      <w:r>
        <w:rPr>
          <w:lang w:val="en-US"/>
        </w:rPr>
        <w:t>1</w:t>
      </w:r>
      <w:r>
        <w:rPr>
          <w:lang w:eastAsia="zh-CN"/>
        </w:rPr>
        <w:t>日前予以更正。</w:t>
      </w:r>
    </w:p>
    <w:p>
      <w:pPr>
        <w:pStyle w:val="7"/>
        <w:widowControl/>
        <w:spacing w:line="560" w:lineRule="atLeast"/>
        <w:ind w:left="0" w:firstLine="480"/>
      </w:pPr>
      <w:r>
        <w:rPr>
          <w:lang w:val="en-US"/>
        </w:rPr>
        <w:t> </w:t>
      </w:r>
    </w:p>
    <w:p>
      <w:pPr>
        <w:pStyle w:val="6"/>
        <w:widowControl/>
        <w:spacing w:line="560" w:lineRule="atLeast"/>
      </w:pPr>
      <w:r>
        <w:rPr>
          <w:lang w:val="en-US"/>
        </w:rPr>
        <w:t>2005</w:t>
      </w:r>
      <w:r>
        <w:rPr>
          <w:lang w:eastAsia="zh-CN"/>
        </w:rPr>
        <w:t>年</w:t>
      </w:r>
      <w:r>
        <w:rPr>
          <w:lang w:val="en-US"/>
        </w:rPr>
        <w:t>1</w:t>
      </w:r>
      <w:r>
        <w:rPr>
          <w:lang w:eastAsia="zh-CN"/>
        </w:rPr>
        <w:t>月</w:t>
      </w:r>
      <w:r>
        <w:rPr>
          <w:lang w:val="en-US"/>
        </w:rPr>
        <w:t>18</w:t>
      </w:r>
      <w:r>
        <w:rPr>
          <w:lang w:eastAsia="zh-CN"/>
        </w:rPr>
        <w:t>日</w:t>
      </w:r>
    </w:p>
    <w:p>
      <w:pPr>
        <w:pStyle w:val="7"/>
        <w:widowControl/>
        <w:spacing w:line="560" w:lineRule="atLeast"/>
        <w:ind w:left="0" w:firstLine="480"/>
      </w:pPr>
      <w:r>
        <w:rPr>
          <w:lang w:val="en-US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br w:type="pag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6">
    <w:name w:val="ae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a8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aa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">
    <w:name w:val="ac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2018-08-30T06:52:11Z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