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7.4.5.8 关于开展船舶远距离识别与跟踪（LRIT）船载设备测试的通知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snapToGrid w:val="0"/>
          <w:kern w:val="0"/>
          <w:sz w:val="24"/>
          <w:szCs w:val="24"/>
          <w:lang w:val="en-US" w:eastAsia="zh-CN" w:bidi="ar"/>
        </w:rPr>
        <w:t>关于开展船舶远距离识别与跟踪（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LRIT</w:t>
      </w:r>
      <w:r>
        <w:rPr>
          <w:rFonts w:hint="eastAsia" w:ascii="宋体" w:hAnsi="宋体" w:eastAsia="宋体" w:cs="宋体"/>
          <w:b/>
          <w:snapToGrid w:val="0"/>
          <w:kern w:val="0"/>
          <w:sz w:val="24"/>
          <w:szCs w:val="24"/>
          <w:lang w:val="en-US" w:eastAsia="zh-CN" w:bidi="ar"/>
        </w:rPr>
        <w:t>）船载设备测试的通知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海船舶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[2008]536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2008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各直属海事局、各有关航运公司：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2006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年，国际海事组织第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届海上安全委员会通过了《经修正的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1974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年国际海上人命安全公约》（以下简称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SOLAS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公约）关于船舶远程跟踪与识别系统（以下简称“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LRIT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”）的修正案，该修正案将于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2008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日起生效。根据该修正案的要求，适用于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SOLAS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公约第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V/19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条（见附件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）的船舶需配备符合公约要求的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LRIT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船载设备，按照国际海事组织《船舶发送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LRIT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信息符合性测试：检验与发证指南》（通函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MSC.1/Circ.1257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）进行符合性测试。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我局已认可中国交通通信中心作为中国籍船舶的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LRIT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船载设备符合性测试应用服务提供商，为中国籍船舶提供测试服务。该测试以远程方式进行，不影响船舶的正常营运，船公司可以登陆中国交通通信中心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LRIT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测试网站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www.lrit.com.cn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提出测试申请。为了避免由于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LRIT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船载设备不合格影响船舶营运，请各船公司自接到本通知之日起尽早与中国交通通信中心（联络方式见附件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）联系具体测试事宜。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鉴于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2008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月底召开的国际海事组织第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届海上安全委员会（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MSC85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）将对《船舶发送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LRIT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信息符合性测试：检验与发证指南》（通函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MSC.1/Circ.1257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）中测试报告格式进行修订，测试报告将于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MSC85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后按新测试报告格式签发。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请各直属海事局将本通知传达给本辖区内各相关航运公司，并督促其做好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LRIT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船载设备测试工作。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附件：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SOLAS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公约第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V/19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条相关条款（略）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   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、中国交通通信中心联系方式（略）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                              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righ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二○○八年十一月四日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2018-08-30T08:32:59Z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