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7.5.22 转发交通运输部等部门关于农药运输的通知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b/>
          <w:snapToGrid w:val="0"/>
          <w:kern w:val="0"/>
          <w:sz w:val="24"/>
          <w:szCs w:val="24"/>
          <w:lang w:val="en-US" w:eastAsia="zh-CN" w:bidi="ar"/>
        </w:rPr>
        <w:t>转发交通运输部等部门关于农药运输的通知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海船舶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[2009]230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   2009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各直属海事局，各省、自治区、直辖市地方海事局和新疆生产建设兵团海事局：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35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为确保农药运输安全通畅，交通运输部、农业部、公安部和国家安监总局于近日联合发布了《关于农药运输的通知》（交水发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[2009]162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号，以下简称《通知》），现将该通知转发你们，并就有关事项通知如下：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35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一、《通知》的适用范围为内贸运输的包装农药；须外贸出口的海运农药（含国内运输段）按《国际海运危险货物规则》要求执行，不适用《通知》；须外贸进口的海运农药，如满足《通知》具体要求，国内运输段适用《通知》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35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二、根据有关法律法规和《通知》要求，对海运包装类农药的管理要求进一步明确如下：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35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（一）危险性低于国家标准《危险货物品名表》（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GB12268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—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2005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）农药条目包装类别Ⅲ的农药产品，不需办理申报；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35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（二）对列入《通知》附件《农药限量一览表》内的包装类别Ⅲ的农药，参照外贸限量危险货物进行申报。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35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（三）对包装类别Ⅰ、Ⅱ的农药产品（含农药登记为剧毒、高毒产品）以及不符合限量标准及《农药包装通则》要求的包装类别Ⅲ的农药产品，仍按危险货物管理。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35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三、在现场检查中，海事管理机构如发现未办理申报手续的海运包装类农药不符合《通知》要求的，按照船舶载运危险货物管理相关管理规定依法予以查处。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35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四、执行过程中如有问题请报部海事局。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35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35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35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35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35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6031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二○○九年五月十一日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7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2018-08-31T03:52:13Z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2052-11.1.0.7748</vt:lpwstr>
  </property>
</Properties>
</file>