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7.5.30 集装箱装运包装危险货物监督管理规定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b/>
          <w:snapToGrid w:val="0"/>
          <w:kern w:val="0"/>
          <w:sz w:val="24"/>
          <w:szCs w:val="24"/>
          <w:lang w:val="en-US" w:eastAsia="zh-CN" w:bidi="ar"/>
        </w:rPr>
        <w:t>集装箱装运包装危险货物监督管理规定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（水监字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[1986]148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 1986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18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6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第一条 为实施《中华人民共和国海上交通安全法》和交通部《船舶装载危险货物监督管理规则》，保障船舶、港口和人命财产的安全</w:t>
      </w:r>
      <w:r>
        <w:rPr>
          <w:lang w:val="en-US"/>
        </w:rPr>
        <w:t>,</w:t>
      </w:r>
      <w:r>
        <w:rPr>
          <w:snapToGrid w:val="0"/>
          <w:lang w:eastAsia="zh-CN"/>
        </w:rPr>
        <w:t>便利运输生产，特制定本规定。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第二条 本规定适用于在我国境内、为海上运输目的使用集装箱装运包装危险货物的装箱、装卸、承运等有关单位、船舶及有关人员。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第三条 用于装运危险货物的集装箱必须符合国际海事组织《</w:t>
      </w:r>
      <w:r>
        <w:rPr>
          <w:lang w:val="en-US"/>
        </w:rPr>
        <w:t>1972</w:t>
      </w:r>
      <w:r>
        <w:rPr>
          <w:snapToGrid w:val="0"/>
          <w:lang w:eastAsia="zh-CN"/>
        </w:rPr>
        <w:t>年国际集装箱安全公约》的要求</w:t>
      </w:r>
      <w:r>
        <w:rPr>
          <w:lang w:val="en-US"/>
        </w:rPr>
        <w:t>,</w:t>
      </w:r>
      <w:r>
        <w:rPr>
          <w:snapToGrid w:val="0"/>
          <w:lang w:eastAsia="zh-CN"/>
        </w:rPr>
        <w:t>并经有关检验部门检验合格。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第四条 危险货物装箱前，装箱单位应事先对集装箱和待运危险货物认真进行检查，使其符合国际海事组织《国际海上危险货物运输规则》</w:t>
      </w:r>
      <w:r>
        <w:rPr>
          <w:lang w:val="en-US"/>
        </w:rPr>
        <w:t>(</w:t>
      </w:r>
      <w:r>
        <w:rPr>
          <w:snapToGrid w:val="0"/>
          <w:lang w:eastAsia="zh-CN"/>
        </w:rPr>
        <w:t>以下简称《国际危规》</w:t>
      </w:r>
      <w:r>
        <w:rPr>
          <w:lang w:val="en-US"/>
        </w:rPr>
        <w:t>)</w:t>
      </w:r>
      <w:r>
        <w:rPr>
          <w:snapToGrid w:val="0"/>
          <w:lang w:eastAsia="zh-CN"/>
        </w:rPr>
        <w:t>第</w:t>
      </w:r>
      <w:r>
        <w:rPr>
          <w:lang w:val="en-US"/>
        </w:rPr>
        <w:t>12</w:t>
      </w:r>
      <w:r>
        <w:rPr>
          <w:snapToGrid w:val="0"/>
          <w:lang w:eastAsia="zh-CN"/>
        </w:rPr>
        <w:t>节</w:t>
      </w:r>
      <w:r>
        <w:rPr>
          <w:lang w:val="en-US"/>
        </w:rPr>
        <w:t>12.3.4</w:t>
      </w:r>
      <w:r>
        <w:rPr>
          <w:snapToGrid w:val="0"/>
          <w:lang w:eastAsia="zh-CN"/>
        </w:rPr>
        <w:t>和</w:t>
      </w:r>
      <w:r>
        <w:rPr>
          <w:lang w:val="en-US"/>
        </w:rPr>
        <w:t>12.3.6</w:t>
      </w:r>
      <w:r>
        <w:rPr>
          <w:snapToGrid w:val="0"/>
          <w:lang w:eastAsia="zh-CN"/>
        </w:rPr>
        <w:t>款的要求。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第五条 不相容的货物不得同箱装运。集装箱内货物的装载应符合《国际危规》第</w:t>
      </w:r>
      <w:r>
        <w:rPr>
          <w:lang w:val="en-US"/>
        </w:rPr>
        <w:t>12</w:t>
      </w:r>
      <w:r>
        <w:rPr>
          <w:snapToGrid w:val="0"/>
          <w:lang w:eastAsia="zh-CN"/>
        </w:rPr>
        <w:t>节</w:t>
      </w:r>
      <w:r>
        <w:rPr>
          <w:lang w:val="en-US"/>
        </w:rPr>
        <w:t>12.3.1</w:t>
      </w:r>
      <w:r>
        <w:rPr>
          <w:snapToGrid w:val="0"/>
          <w:lang w:eastAsia="zh-CN"/>
        </w:rPr>
        <w:t>和</w:t>
      </w:r>
      <w:r>
        <w:rPr>
          <w:lang w:val="en-US"/>
        </w:rPr>
        <w:t>12.3.2</w:t>
      </w:r>
      <w:r>
        <w:rPr>
          <w:snapToGrid w:val="0"/>
          <w:lang w:eastAsia="zh-CN"/>
        </w:rPr>
        <w:t>款以及各类引言中相应的要求。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第六条 装入箱内的危险货物及集装箱外表应按《国际危规》第</w:t>
      </w:r>
      <w:r>
        <w:rPr>
          <w:lang w:val="en-US"/>
        </w:rPr>
        <w:t>7</w:t>
      </w:r>
      <w:r>
        <w:rPr>
          <w:snapToGrid w:val="0"/>
          <w:lang w:eastAsia="zh-CN"/>
        </w:rPr>
        <w:t>节和第</w:t>
      </w:r>
      <w:r>
        <w:rPr>
          <w:lang w:val="en-US"/>
        </w:rPr>
        <w:t>8</w:t>
      </w:r>
      <w:r>
        <w:rPr>
          <w:snapToGrid w:val="0"/>
          <w:lang w:eastAsia="zh-CN"/>
        </w:rPr>
        <w:t>节的要求加以标记和张贴标志或标志牌。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集装箱外表不得留有其它无关的危险货物标志。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第七条 装箱完毕经对装箱情况检查合格后，负责装箱的单位应签具符合《国际危规》第</w:t>
      </w:r>
      <w:r>
        <w:rPr>
          <w:lang w:val="en-US"/>
        </w:rPr>
        <w:t>12</w:t>
      </w:r>
      <w:r>
        <w:rPr>
          <w:snapToGrid w:val="0"/>
          <w:lang w:eastAsia="zh-CN"/>
        </w:rPr>
        <w:t>节</w:t>
      </w:r>
      <w:r>
        <w:rPr>
          <w:lang w:val="en-US"/>
        </w:rPr>
        <w:t>12.3.7</w:t>
      </w:r>
      <w:r>
        <w:rPr>
          <w:snapToGrid w:val="0"/>
          <w:lang w:eastAsia="zh-CN"/>
        </w:rPr>
        <w:t>款要求的《集装箱装箱证明书》，现场装箱检查员应在证明书上签字。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《集装箱装箱证明书》应呈交港务监督查验。港务监督认为必要时，将要求托运人呈验其它有关单证。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第八条 装箱单位应事先向装箱人员提出保障集装箱安全运输的装箱要求；并指定现场检查员</w:t>
      </w:r>
      <w:r>
        <w:rPr>
          <w:lang w:val="en-US"/>
        </w:rPr>
        <w:t>,</w:t>
      </w:r>
      <w:r>
        <w:rPr>
          <w:snapToGrid w:val="0"/>
          <w:lang w:eastAsia="zh-CN"/>
        </w:rPr>
        <w:t>负责检查装箱要求的落实情况。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第九条 装箱单位应事先将现场检查员名单报送就近港务监督。港务监督将对现场检查员进行必要的考核，确认其签署《集装箱装箱证明书》的资格。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第十条 有关承运单位、</w:t>
      </w:r>
      <w:r>
        <w:rPr>
          <w:lang w:val="en-US"/>
        </w:rPr>
        <w:t> </w:t>
      </w:r>
      <w:r>
        <w:rPr>
          <w:snapToGrid w:val="0"/>
          <w:lang w:eastAsia="zh-CN"/>
        </w:rPr>
        <w:t>船舶和港口作业部门应对装有危险货物的集装箱进行查验，凡发现箱体或其部件有破损、污染、撒漏或渗漏现象的</w:t>
      </w:r>
      <w:r>
        <w:rPr>
          <w:lang w:val="en-US"/>
        </w:rPr>
        <w:t>,</w:t>
      </w:r>
      <w:r>
        <w:rPr>
          <w:snapToGrid w:val="0"/>
          <w:lang w:eastAsia="zh-CN"/>
        </w:rPr>
        <w:t>不得承运或装船。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第十一条 装运过危险货物的集装箱在未彻底清洗或消除危害之前，仍应按原所载危险货物的要求运输。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第十二条 在港区内进行危险货物集装箱的装箱、拆箱作业须征得港务监督同意。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第十三条 危险货物集装箱在船上的积载与隔离，按《国际危规》第</w:t>
      </w:r>
      <w:r>
        <w:rPr>
          <w:lang w:val="en-US"/>
        </w:rPr>
        <w:t>12</w:t>
      </w:r>
      <w:r>
        <w:rPr>
          <w:snapToGrid w:val="0"/>
          <w:lang w:eastAsia="zh-CN"/>
        </w:rPr>
        <w:t>．</w:t>
      </w:r>
      <w:r>
        <w:rPr>
          <w:lang w:val="en-US"/>
        </w:rPr>
        <w:t>5</w:t>
      </w:r>
      <w:r>
        <w:rPr>
          <w:snapToGrid w:val="0"/>
          <w:lang w:eastAsia="zh-CN"/>
        </w:rPr>
        <w:t>和</w:t>
      </w:r>
      <w:r>
        <w:rPr>
          <w:lang w:val="en-US"/>
        </w:rPr>
        <w:t>12</w:t>
      </w:r>
      <w:r>
        <w:rPr>
          <w:snapToGrid w:val="0"/>
          <w:lang w:eastAsia="zh-CN"/>
        </w:rPr>
        <w:t>．</w:t>
      </w:r>
      <w:r>
        <w:rPr>
          <w:lang w:val="en-US"/>
        </w:rPr>
        <w:t>6</w:t>
      </w:r>
      <w:r>
        <w:rPr>
          <w:snapToGrid w:val="0"/>
          <w:lang w:eastAsia="zh-CN"/>
        </w:rPr>
        <w:t>条以及各类引言中相应的要求办理。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第十四条 港务监督认为必要时，将对拟装船的集装箱进行抽样开箱监督检查。当发现集装箱或箱内装载不符合安全要求时</w:t>
      </w:r>
      <w:r>
        <w:rPr>
          <w:lang w:val="en-US"/>
        </w:rPr>
        <w:t>,</w:t>
      </w:r>
      <w:r>
        <w:rPr>
          <w:snapToGrid w:val="0"/>
          <w:lang w:eastAsia="zh-CN"/>
        </w:rPr>
        <w:t>港务监督将根据当事方所负之责任，责成装箱单位或托、承运人采取必要的安全处置措施</w:t>
      </w:r>
      <w:r>
        <w:rPr>
          <w:lang w:val="en-US"/>
        </w:rPr>
        <w:t>,</w:t>
      </w:r>
      <w:r>
        <w:rPr>
          <w:snapToGrid w:val="0"/>
          <w:lang w:eastAsia="zh-CN"/>
        </w:rPr>
        <w:t>由此引起的一切后果由责任方承担。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第十五条 对违犯本规定的单位或船舶</w:t>
      </w:r>
      <w:r>
        <w:rPr>
          <w:lang w:val="en-US"/>
        </w:rPr>
        <w:t>,</w:t>
      </w:r>
      <w:r>
        <w:rPr>
          <w:snapToGrid w:val="0"/>
          <w:lang w:eastAsia="zh-CN"/>
        </w:rPr>
        <w:t>港务监督视情分别或同时给予警告或处人民币</w:t>
      </w:r>
      <w:r>
        <w:rPr>
          <w:lang w:val="en-US"/>
        </w:rPr>
        <w:t>5000</w:t>
      </w:r>
      <w:r>
        <w:rPr>
          <w:snapToGrid w:val="0"/>
          <w:lang w:eastAsia="zh-CN"/>
        </w:rPr>
        <w:t>元以下的罚款。对违章人员将视情分别或同时给予警告、吊销证书或处人民币</w:t>
      </w:r>
      <w:r>
        <w:rPr>
          <w:lang w:val="en-US"/>
        </w:rPr>
        <w:t>50</w:t>
      </w:r>
      <w:r>
        <w:rPr>
          <w:snapToGrid w:val="0"/>
          <w:lang w:eastAsia="zh-CN"/>
        </w:rPr>
        <w:t>元以下罚款等处分。</w:t>
      </w:r>
    </w:p>
    <w:p>
      <w:pPr>
        <w:pStyle w:val="2"/>
        <w:widowControl/>
        <w:snapToGrid w:val="0"/>
        <w:spacing w:before="0" w:beforeAutospacing="0" w:after="0" w:afterAutospacing="0" w:line="560" w:lineRule="atLeast"/>
        <w:ind w:left="0" w:right="0" w:firstLine="472"/>
      </w:pPr>
      <w:r>
        <w:rPr>
          <w:snapToGrid w:val="0"/>
          <w:lang w:eastAsia="zh-CN"/>
        </w:rPr>
        <w:t>第十六条 本规定自</w:t>
      </w:r>
      <w:r>
        <w:rPr>
          <w:lang w:val="en-US"/>
        </w:rPr>
        <w:t>1987</w:t>
      </w:r>
      <w:r>
        <w:rPr>
          <w:snapToGrid w:val="0"/>
          <w:lang w:eastAsia="zh-CN"/>
        </w:rPr>
        <w:t>年</w:t>
      </w:r>
      <w:r>
        <w:rPr>
          <w:lang w:val="en-US"/>
        </w:rPr>
        <w:t>1</w:t>
      </w:r>
      <w:r>
        <w:rPr>
          <w:snapToGrid w:val="0"/>
          <w:lang w:eastAsia="zh-CN"/>
        </w:rPr>
        <w:t>月</w:t>
      </w:r>
      <w:r>
        <w:rPr>
          <w:lang w:val="en-US"/>
        </w:rPr>
        <w:t>1</w:t>
      </w:r>
      <w:r>
        <w:rPr>
          <w:snapToGrid w:val="0"/>
          <w:lang w:eastAsia="zh-CN"/>
        </w:rPr>
        <w:t>日起施行。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2018-08-31T03:56:36Z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