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7.6.3 关于做好《国际船舶安全营运和防止污染管理规则》2013年修正案实施相关工作的通知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中华人民共和国海事局关于做好《国际船舶安全营运和防止污染管理规则》2013年修正案实施相关工作的通知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海安全〔2014〕479号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各直属海事局，中国船级社，各有关航运公司，交通安全质量管理体系审核中心：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  《国际船舶安全营运和防止污染管理规则》（ISM规则）修正案（见附件）已于2013年6月21日在第92届海安会上以第353号决议通过，并将于2015年1月1日起强制实施。为做好ISM规则修正案实施的相关工作，现将有关事项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一、各相关国际航运公司应抓紧时间组织研究ISM规则修改的内容，按照修改后的ISM规则尽快完善公司安全管理体系。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二、各审核发证机构、审核员应加强对修改后ISM规则的学习研讨，充分理解掌握ISM规则修正案的精神，自2015年1月1日起按照修改后的ISM规则对公司进行审核发证。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请各直属海事局将本通知精神尽快传达至辖区相关国际航运公司。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628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中华人民共和国海事局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836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2014年7月28日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ISM规则修正案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MSC.353（92）号决议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（2013年6月21日通过）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A部分——实施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6        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资源和人员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         现有第6.2段由下列文字替代：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6.2       公司应确保每艘船舶：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871" w:right="0" w:hanging="759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.1    根据国内和国际规定，配备合格、持证并健康的船员；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871" w:right="0" w:hanging="759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.2    配备满足船上各种安全操作要求的合适的人员</w:t>
      </w:r>
      <w:r>
        <w:rPr>
          <w:rFonts w:hint="eastAsia" w:ascii="Symbol" w:hAnsi="Symbol" w:eastAsia="宋体" w:cs="宋体"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pStyle w:val="2"/>
        <w:widowControl/>
        <w:spacing w:line="560" w:lineRule="atLeast"/>
        <w:ind w:left="1112"/>
      </w:pPr>
      <w:r>
        <w:rPr>
          <w:rFonts w:hint="default" w:ascii="Symbol" w:hAnsi="Symbol" w:cs="宋体"/>
          <w:lang w:val="en-US"/>
        </w:rPr>
        <w:t>*</w:t>
      </w:r>
      <w:r>
        <w:rPr>
          <w:lang w:val="en-US"/>
        </w:rPr>
        <w:t xml:space="preserve">    </w:t>
      </w:r>
      <w:r>
        <w:rPr>
          <w:lang w:eastAsia="zh-CN"/>
        </w:rPr>
        <w:t>参见本组织以第</w:t>
      </w:r>
      <w:r>
        <w:rPr>
          <w:lang w:val="en-US"/>
        </w:rPr>
        <w:t>A.1047(27)</w:t>
      </w:r>
      <w:r>
        <w:rPr>
          <w:lang w:eastAsia="zh-CN"/>
        </w:rPr>
        <w:t>号决议通过的《最低安全配员原则》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12</w:t>
      </w:r>
      <w:bookmarkStart w:id="0" w:name="_ednref1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instrText xml:space="preserve"> HYPERLINK "" \o "" </w:instrTex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u w:val="single"/>
          <w:lang w:val="en-US"/>
        </w:rPr>
        <w:t xml:space="preserve"> 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fldChar w:fldCharType="end"/>
      </w:r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公司审核、复查和评价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         在现有12.1段之后插入以下新的12.2段，并将现有12.2到12.6段重新编号为12.3到12.7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“12.2    公司应定期核查所有受托承担涉及ISM事务的相关方开展的工作是否与本规则规定的公司责任相符。”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本规则出版物前言的脚注及段落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         在第1.1.10段中“重大不符合规定情况”之后插入下列脚注：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112" w:right="-187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参见《ISM规则 “重大不符合规定情况”处理程序》（MSC/Circ.1059-MEPC/Circ.401）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         在第1.2.3.2段中“account”之后插入下列脚注：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参见“规则、建议、指南及其他涉及安全及保安的非强制性文书列表”（MSC.1/Circ.1371）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         在第3章标题后插入下列脚注：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参见《公司实施&lt;国际安全管理规则&gt;操作指南》（MSC-MEPC.7/Circ.5）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         在第4章标题后插入下列脚注：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参见《关于&lt;国际安全管理(ISM)规则&gt;中指定人员必备的资质、培训和资历的导则》（MSC-MEPC.7/Circ.6）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         在第8章标题后插入下列脚注：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参见本组织以A.852（20）号决议通过的经修正的《船舶应急预防措施综合体系结构导则》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         在第9章标题后插入下列脚注：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参见《险情报告指南》（MSC-MEPC.7/Circ.7）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         在第11章标题后插入下列脚注：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1274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_____________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参见“经修订的船舶应持有的证书、文书清单”（FAL.2/Circ.127，MEPC.1/Circ.817,MSC.1/Circ.1462）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         本规则出版物前言中插入以下新段落：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112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规则中添加的脚注旨在提供参考与指导，不作为本规则的要求。然而，按照第1.2.3.2段要求，所有相关指南、建议等均应予以考虑。考虑到该文献可能已被修改或更新的资料所取代，任何情况下读者都应使用文件脚注中提到的参考文献的最新版本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72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7">
    <w:name w:val="脚注文本 Char"/>
    <w:basedOn w:val="3"/>
    <w:link w:val="2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2018-08-31T05:42:33Z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