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7.6.13 关于光船承租人委托船舶安全管理的批复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关于光船承租人委托船舶安全管理的批复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海安全[2006]581号   2006年12月7日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深圳海事局：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你局《关于执行NSM规则有关问题的请示》（深海事字[2006]160号）收悉，经研究，批复如下：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《中华人民共和国海商法》第一百四十四条“光船租凭合同，是指船舶出租人向承租人提供不配备船员的船舶，在约定的期间内由承租人占有、使用和营运，并向出租人支付租金的合同”的规定，光船承租人享有除处分权外的船舶所有权人的所有权利，包括船舶安全管理的权利。因此，在船舶光租的情况下，应将光船承租人视为《中华人民共和国船舶安全营运和防止污染管理规则（试行）》（以下称NSM规则）3.1的要求与船舶管理人签订船舶管理协议。但是，进行安全管理体系审核时，应满足以下条件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一、光船承租人应向审枋发证机构提供光船租赁登记证明书；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二、光船承租人应向审核发证机构提供实际船舶所有人的详细情况。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此复。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76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二OO六年十二月七日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2018-08-31T05:46:49Z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