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7.6.23 关于对同时经营国际和国内航行船舶的公司审核发证安排的通知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关于对同时经营国际和国内航行船舶的公司审核发证安排的通知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海安全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[2002]153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2002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各有关单位：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为减轻航运公司的负担，避免重复审核，方便安全管理体系审核发证工作的管理，决定对国际航运公司同时经营国内航行船舶的，仍由我局统一安排审核发证，一次性完成。此类航运公司所管理的国内航行船舶的审核发证仍按海事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[2001]587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号文件的规定实施，请各单位遵照执行。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                       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righ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二○○二年四月一日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